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0D4D5" w14:textId="39756325" w:rsidR="00693EBA" w:rsidRPr="00F13FBC" w:rsidRDefault="00693EBA">
      <w:pPr>
        <w:rPr>
          <w:rFonts w:asciiTheme="majorHAnsi" w:hAnsiTheme="majorHAnsi" w:cstheme="majorHAnsi"/>
          <w:noProof/>
        </w:rPr>
      </w:pPr>
      <w:bookmarkStart w:id="0" w:name="_Hlk115893919"/>
      <w:bookmarkEnd w:id="0"/>
    </w:p>
    <w:p w14:paraId="7C11F233" w14:textId="0F897D60" w:rsidR="003D1182" w:rsidRPr="00F13FBC" w:rsidRDefault="003D1182">
      <w:pPr>
        <w:rPr>
          <w:rFonts w:asciiTheme="majorHAnsi" w:hAnsiTheme="majorHAnsi" w:cstheme="majorHAnsi"/>
          <w:noProof/>
        </w:rPr>
      </w:pPr>
    </w:p>
    <w:p w14:paraId="5785946C" w14:textId="48E6DFC8" w:rsidR="003D1182" w:rsidRPr="00F13FBC" w:rsidRDefault="003D1182">
      <w:pPr>
        <w:rPr>
          <w:rFonts w:asciiTheme="majorHAnsi" w:hAnsiTheme="majorHAnsi" w:cstheme="majorHAnsi"/>
          <w:noProof/>
        </w:rPr>
      </w:pPr>
    </w:p>
    <w:p w14:paraId="3A9BE3DA" w14:textId="118BB5B0" w:rsidR="003D1182" w:rsidRPr="00F13FBC" w:rsidRDefault="00590933">
      <w:pPr>
        <w:rPr>
          <w:rFonts w:asciiTheme="majorHAnsi" w:hAnsiTheme="majorHAnsi" w:cstheme="majorHAnsi"/>
          <w:noProof/>
        </w:rPr>
      </w:pPr>
      <w:r w:rsidRPr="00F13FBC">
        <w:rPr>
          <w:rFonts w:asciiTheme="majorHAnsi" w:hAnsiTheme="majorHAnsi" w:cstheme="majorHAnsi"/>
          <w:noProof/>
          <w:lang w:eastAsia="zh-CN"/>
        </w:rPr>
        <w:drawing>
          <wp:anchor distT="0" distB="0" distL="114300" distR="114300" simplePos="0" relativeHeight="251657216" behindDoc="1" locked="0" layoutInCell="1" allowOverlap="1" wp14:anchorId="07A20B08" wp14:editId="6F930A17">
            <wp:simplePos x="0" y="0"/>
            <wp:positionH relativeFrom="margin">
              <wp:posOffset>5220586</wp:posOffset>
            </wp:positionH>
            <wp:positionV relativeFrom="page">
              <wp:posOffset>1625160</wp:posOffset>
            </wp:positionV>
            <wp:extent cx="3649256" cy="5242676"/>
            <wp:effectExtent l="0" t="0" r="889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xt.pdf"/>
                    <pic:cNvPicPr/>
                  </pic:nvPicPr>
                  <pic:blipFill>
                    <a:blip r:embed="rId11">
                      <a:extLst>
                        <a:ext uri="{28A0092B-C50C-407E-A947-70E740481C1C}">
                          <a14:useLocalDpi xmlns:a14="http://schemas.microsoft.com/office/drawing/2010/main" val="0"/>
                        </a:ext>
                      </a:extLst>
                    </a:blip>
                    <a:stretch>
                      <a:fillRect/>
                    </a:stretch>
                  </pic:blipFill>
                  <pic:spPr>
                    <a:xfrm>
                      <a:off x="0" y="0"/>
                      <a:ext cx="3649802" cy="5243461"/>
                    </a:xfrm>
                    <a:prstGeom prst="rect">
                      <a:avLst/>
                    </a:prstGeom>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80FC43" w14:textId="3209AD00" w:rsidR="003D1182" w:rsidRPr="00F13FBC" w:rsidRDefault="009D71EF">
      <w:pPr>
        <w:rPr>
          <w:rFonts w:asciiTheme="majorHAnsi" w:hAnsiTheme="majorHAnsi" w:cstheme="majorHAnsi"/>
          <w:noProof/>
        </w:rPr>
      </w:pPr>
      <w:r w:rsidRPr="00F13FBC">
        <w:rPr>
          <w:rFonts w:asciiTheme="majorHAnsi" w:hAnsiTheme="majorHAnsi" w:cstheme="majorHAnsi"/>
          <w:noProof/>
          <w:lang w:eastAsia="zh-CN"/>
        </w:rPr>
        <mc:AlternateContent>
          <mc:Choice Requires="wps">
            <w:drawing>
              <wp:anchor distT="0" distB="0" distL="114300" distR="114300" simplePos="0" relativeHeight="251658240" behindDoc="0" locked="0" layoutInCell="1" allowOverlap="1" wp14:anchorId="56439FA6" wp14:editId="0C420427">
                <wp:simplePos x="0" y="0"/>
                <wp:positionH relativeFrom="page">
                  <wp:posOffset>3062177</wp:posOffset>
                </wp:positionH>
                <wp:positionV relativeFrom="page">
                  <wp:posOffset>1775637</wp:posOffset>
                </wp:positionV>
                <wp:extent cx="3895178" cy="1669312"/>
                <wp:effectExtent l="0" t="0" r="10160" b="7620"/>
                <wp:wrapNone/>
                <wp:docPr id="168" name="Text Box 168"/>
                <wp:cNvGraphicFramePr/>
                <a:graphic xmlns:a="http://schemas.openxmlformats.org/drawingml/2006/main">
                  <a:graphicData uri="http://schemas.microsoft.com/office/word/2010/wordprocessingShape">
                    <wps:wsp>
                      <wps:cNvSpPr txBox="1"/>
                      <wps:spPr>
                        <a:xfrm>
                          <a:off x="0" y="0"/>
                          <a:ext cx="3895178" cy="1669312"/>
                        </a:xfrm>
                        <a:prstGeom prst="rect">
                          <a:avLst/>
                        </a:prstGeom>
                        <a:noFill/>
                        <a:ln>
                          <a:noFill/>
                        </a:ln>
                        <a:effectLst/>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C5879" w14:textId="5E3ED757" w:rsidR="002575B8" w:rsidRPr="000F279E" w:rsidRDefault="002575B8" w:rsidP="000D4B2D">
                            <w:pPr>
                              <w:pStyle w:val="Bluehead2"/>
                              <w:spacing w:line="360" w:lineRule="auto"/>
                              <w:jc w:val="center"/>
                              <w:rPr>
                                <w:sz w:val="72"/>
                                <w:szCs w:val="72"/>
                                <w:u w:val="single"/>
                              </w:rPr>
                            </w:pPr>
                            <w:r w:rsidRPr="000F279E">
                              <w:rPr>
                                <w:sz w:val="96"/>
                                <w:szCs w:val="96"/>
                                <w:u w:val="single"/>
                              </w:rPr>
                              <w:t>THE 4-4-2</w:t>
                            </w:r>
                          </w:p>
                          <w:p w14:paraId="548A71DC" w14:textId="77777777" w:rsidR="000D4B2D" w:rsidRDefault="000D4B2D" w:rsidP="000D4B2D">
                            <w:pPr>
                              <w:pStyle w:val="Subtitle1"/>
                              <w:spacing w:line="360" w:lineRule="auto"/>
                              <w:jc w:val="center"/>
                            </w:pPr>
                            <w:r w:rsidRPr="002575B8">
                              <w:rPr>
                                <w:sz w:val="40"/>
                                <w:szCs w:val="56"/>
                              </w:rPr>
                              <w:t>4</w:t>
                            </w:r>
                            <w:r w:rsidRPr="0019629B">
                              <w:t xml:space="preserve"> </w:t>
                            </w:r>
                            <w:r>
                              <w:t xml:space="preserve">NEWS </w:t>
                            </w:r>
                            <w:r w:rsidRPr="0019629B">
                              <w:t xml:space="preserve">– </w:t>
                            </w:r>
                            <w:r w:rsidRPr="002575B8">
                              <w:rPr>
                                <w:sz w:val="40"/>
                                <w:szCs w:val="56"/>
                              </w:rPr>
                              <w:t>4</w:t>
                            </w:r>
                            <w:r w:rsidRPr="0019629B">
                              <w:t xml:space="preserve"> </w:t>
                            </w:r>
                            <w:r>
                              <w:t xml:space="preserve">GLANCES </w:t>
                            </w:r>
                            <w:r w:rsidRPr="0019629B">
                              <w:t xml:space="preserve">– </w:t>
                            </w:r>
                            <w:r w:rsidRPr="002575B8">
                              <w:rPr>
                                <w:sz w:val="40"/>
                                <w:szCs w:val="56"/>
                              </w:rPr>
                              <w:t>2</w:t>
                            </w:r>
                            <w:r w:rsidRPr="0019629B">
                              <w:t xml:space="preserve"> </w:t>
                            </w:r>
                            <w:r>
                              <w:t>QUESTIONS</w:t>
                            </w:r>
                          </w:p>
                          <w:p w14:paraId="394C35FF" w14:textId="7580E920" w:rsidR="0019629B" w:rsidRPr="002575B8" w:rsidRDefault="0019629B" w:rsidP="000D4B2D">
                            <w:pPr>
                              <w:pStyle w:val="Bluehead2"/>
                              <w:spacing w:line="360" w:lineRule="auto"/>
                              <w:jc w:val="center"/>
                              <w:rPr>
                                <w:sz w:val="28"/>
                                <w:szCs w:val="28"/>
                              </w:rPr>
                            </w:pPr>
                            <w:r w:rsidRPr="000D4B2D">
                              <w:rPr>
                                <w:sz w:val="24"/>
                                <w:szCs w:val="24"/>
                              </w:rPr>
                              <w:t>ECONOMIC BULLETIN</w:t>
                            </w:r>
                          </w:p>
                          <w:p w14:paraId="78CDC132" w14:textId="6B33D466" w:rsidR="00E4778E" w:rsidRDefault="00E4778E" w:rsidP="0036508A">
                            <w:pPr>
                              <w:pStyle w:val="Subtitle1"/>
                            </w:pPr>
                          </w:p>
                          <w:p w14:paraId="32C88EA9" w14:textId="77777777" w:rsidR="000D4B2D" w:rsidRDefault="000D4B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6439FA6" id="_x0000_t202" coordsize="21600,21600" o:spt="202" path="m,l,21600r21600,l21600,xe">
                <v:stroke joinstyle="miter"/>
                <v:path gradientshapeok="t" o:connecttype="rect"/>
              </v:shapetype>
              <v:shape id="Text Box 168" o:spid="_x0000_s1026" type="#_x0000_t202" style="position:absolute;margin-left:241.1pt;margin-top:139.8pt;width:306.7pt;height:13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" filled="f" stroked="f">
                <v:textbox inset="0,0,0,0">
                  <w:txbxContent>
                    <w:p w14:paraId="6D7C5879" w14:textId="5E3ED757" w:rsidR="002575B8" w:rsidRPr="000F279E" w:rsidRDefault="002575B8" w:rsidP="000D4B2D">
                      <w:pPr>
                        <w:pStyle w:val="Bluehead2"/>
                        <w:spacing w:line="360" w:lineRule="auto"/>
                        <w:jc w:val="center"/>
                        <w:rPr>
                          <w:sz w:val="72"/>
                          <w:szCs w:val="72"/>
                          <w:u w:val="single"/>
                        </w:rPr>
                      </w:pPr>
                      <w:r w:rsidRPr="000F279E">
                        <w:rPr>
                          <w:sz w:val="96"/>
                          <w:szCs w:val="96"/>
                          <w:u w:val="single"/>
                        </w:rPr>
                        <w:t>THE 4-4-2</w:t>
                      </w:r>
                    </w:p>
                    <w:p w14:paraId="548A71DC" w14:textId="77777777" w:rsidR="000D4B2D" w:rsidRDefault="000D4B2D" w:rsidP="000D4B2D">
                      <w:pPr>
                        <w:pStyle w:val="Subtitle1"/>
                        <w:spacing w:line="360" w:lineRule="auto"/>
                        <w:jc w:val="center"/>
                      </w:pPr>
                      <w:r w:rsidRPr="002575B8">
                        <w:rPr>
                          <w:sz w:val="40"/>
                          <w:szCs w:val="56"/>
                        </w:rPr>
                        <w:t>4</w:t>
                      </w:r>
                      <w:r w:rsidRPr="0019629B">
                        <w:t xml:space="preserve"> </w:t>
                      </w:r>
                      <w:r>
                        <w:t xml:space="preserve">NEWS </w:t>
                      </w:r>
                      <w:r w:rsidRPr="0019629B">
                        <w:t xml:space="preserve">– </w:t>
                      </w:r>
                      <w:r w:rsidRPr="002575B8">
                        <w:rPr>
                          <w:sz w:val="40"/>
                          <w:szCs w:val="56"/>
                        </w:rPr>
                        <w:t>4</w:t>
                      </w:r>
                      <w:r w:rsidRPr="0019629B">
                        <w:t xml:space="preserve"> </w:t>
                      </w:r>
                      <w:r>
                        <w:t xml:space="preserve">GLANCES </w:t>
                      </w:r>
                      <w:r w:rsidRPr="0019629B">
                        <w:t xml:space="preserve">– </w:t>
                      </w:r>
                      <w:r w:rsidRPr="002575B8">
                        <w:rPr>
                          <w:sz w:val="40"/>
                          <w:szCs w:val="56"/>
                        </w:rPr>
                        <w:t>2</w:t>
                      </w:r>
                      <w:r w:rsidRPr="0019629B">
                        <w:t xml:space="preserve"> </w:t>
                      </w:r>
                      <w:r>
                        <w:t>QUESTIONS</w:t>
                      </w:r>
                    </w:p>
                    <w:p w14:paraId="394C35FF" w14:textId="7580E920" w:rsidR="0019629B" w:rsidRPr="002575B8" w:rsidRDefault="0019629B" w:rsidP="000D4B2D">
                      <w:pPr>
                        <w:pStyle w:val="Bluehead2"/>
                        <w:spacing w:line="360" w:lineRule="auto"/>
                        <w:jc w:val="center"/>
                        <w:rPr>
                          <w:sz w:val="28"/>
                          <w:szCs w:val="28"/>
                        </w:rPr>
                      </w:pPr>
                      <w:r w:rsidRPr="000D4B2D">
                        <w:rPr>
                          <w:sz w:val="24"/>
                          <w:szCs w:val="24"/>
                        </w:rPr>
                        <w:t>ECONOMIC BULLETIN</w:t>
                      </w:r>
                    </w:p>
                    <w:p w14:paraId="78CDC132" w14:textId="6B33D466" w:rsidR="00E4778E" w:rsidRDefault="00E4778E" w:rsidP="0036508A">
                      <w:pPr>
                        <w:pStyle w:val="Subtitle1"/>
                      </w:pPr>
                    </w:p>
                    <w:p w14:paraId="32C88EA9" w14:textId="77777777" w:rsidR="000D4B2D" w:rsidRDefault="000D4B2D"/>
                  </w:txbxContent>
                </v:textbox>
                <w10:wrap anchorx="page" anchory="page"/>
              </v:shape>
            </w:pict>
          </mc:Fallback>
        </mc:AlternateContent>
      </w:r>
    </w:p>
    <w:p w14:paraId="345A568E" w14:textId="1A769242" w:rsidR="003D1182" w:rsidRPr="00F13FBC" w:rsidRDefault="003D1182">
      <w:pPr>
        <w:rPr>
          <w:rFonts w:asciiTheme="majorHAnsi" w:hAnsiTheme="majorHAnsi" w:cstheme="majorHAnsi"/>
          <w:noProof/>
        </w:rPr>
      </w:pPr>
    </w:p>
    <w:p w14:paraId="6A21C8CD" w14:textId="4357F709" w:rsidR="00763895" w:rsidRPr="004F00C1" w:rsidRDefault="00021BF8" w:rsidP="004F00C1">
      <w:pPr>
        <w:rPr>
          <w:rFonts w:asciiTheme="majorHAnsi" w:hAnsiTheme="majorHAnsi" w:cstheme="majorHAnsi"/>
        </w:rPr>
      </w:pPr>
      <w:r w:rsidRPr="00F13FBC">
        <w:rPr>
          <w:rFonts w:asciiTheme="majorHAnsi" w:hAnsiTheme="majorHAnsi" w:cstheme="majorHAnsi"/>
          <w:noProof/>
          <w:lang w:eastAsia="zh-CN"/>
        </w:rPr>
        <mc:AlternateContent>
          <mc:Choice Requires="wps">
            <w:drawing>
              <wp:anchor distT="0" distB="0" distL="114300" distR="114300" simplePos="0" relativeHeight="251687936" behindDoc="1" locked="0" layoutInCell="1" allowOverlap="1" wp14:anchorId="1E6A65FF" wp14:editId="23E03A68">
                <wp:simplePos x="0" y="0"/>
                <wp:positionH relativeFrom="margin">
                  <wp:posOffset>438150</wp:posOffset>
                </wp:positionH>
                <wp:positionV relativeFrom="page">
                  <wp:posOffset>4838700</wp:posOffset>
                </wp:positionV>
                <wp:extent cx="6099175" cy="1668780"/>
                <wp:effectExtent l="0" t="0" r="15875" b="7620"/>
                <wp:wrapSquare wrapText="bothSides"/>
                <wp:docPr id="9" name="Text Box 9"/>
                <wp:cNvGraphicFramePr/>
                <a:graphic xmlns:a="http://schemas.openxmlformats.org/drawingml/2006/main">
                  <a:graphicData uri="http://schemas.microsoft.com/office/word/2010/wordprocessingShape">
                    <wps:wsp>
                      <wps:cNvSpPr txBox="1"/>
                      <wps:spPr>
                        <a:xfrm>
                          <a:off x="0" y="0"/>
                          <a:ext cx="6099175" cy="1668780"/>
                        </a:xfrm>
                        <a:prstGeom prst="rect">
                          <a:avLst/>
                        </a:prstGeom>
                        <a:noFill/>
                        <a:ln>
                          <a:noFill/>
                        </a:ln>
                        <a:effectLst/>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9B36C" w14:textId="46618828" w:rsidR="00021BF8" w:rsidRPr="00E214B3" w:rsidRDefault="003675F0" w:rsidP="00E57DEE">
                            <w:pPr>
                              <w:pStyle w:val="Bluehead2"/>
                              <w:spacing w:line="360" w:lineRule="auto"/>
                              <w:jc w:val="center"/>
                              <w:rPr>
                                <w:color w:val="548DD4" w:themeColor="text2" w:themeTint="99"/>
                                <w:sz w:val="22"/>
                                <w:szCs w:val="22"/>
                              </w:rPr>
                            </w:pPr>
                            <w:r>
                              <w:rPr>
                                <w:rFonts w:asciiTheme="minorBidi" w:hAnsiTheme="minorBidi"/>
                                <w:color w:val="548DD4" w:themeColor="text2" w:themeTint="99"/>
                                <w:sz w:val="32"/>
                                <w:szCs w:val="32"/>
                                <w:lang w:eastAsia="zh-CN"/>
                              </w:rPr>
                              <w:t xml:space="preserve">Strong US Dollar, </w:t>
                            </w:r>
                            <w:r w:rsidR="00150818">
                              <w:rPr>
                                <w:rFonts w:asciiTheme="minorBidi" w:hAnsiTheme="minorBidi"/>
                                <w:color w:val="548DD4" w:themeColor="text2" w:themeTint="99"/>
                                <w:sz w:val="32"/>
                                <w:szCs w:val="32"/>
                                <w:lang w:eastAsia="zh-CN"/>
                              </w:rPr>
                              <w:t xml:space="preserve">High </w:t>
                            </w:r>
                            <w:r>
                              <w:rPr>
                                <w:rFonts w:asciiTheme="minorBidi" w:hAnsiTheme="minorBidi"/>
                                <w:color w:val="548DD4" w:themeColor="text2" w:themeTint="99"/>
                                <w:sz w:val="32"/>
                                <w:szCs w:val="32"/>
                                <w:lang w:eastAsia="zh-CN"/>
                              </w:rPr>
                              <w:t>Interest Rates, global growth slowdown: The implications for Mauritius</w:t>
                            </w:r>
                            <w:r w:rsidR="00A979CE" w:rsidRPr="00E214B3">
                              <w:rPr>
                                <w:rFonts w:asciiTheme="minorBidi" w:hAnsiTheme="minorBidi"/>
                                <w:color w:val="548DD4" w:themeColor="text2" w:themeTint="99"/>
                                <w:sz w:val="32"/>
                                <w:szCs w:val="32"/>
                                <w:lang w:eastAsia="zh-CN"/>
                              </w:rPr>
                              <w:t xml:space="preserve"> </w:t>
                            </w:r>
                          </w:p>
                          <w:p w14:paraId="05A4DF4D" w14:textId="77777777" w:rsidR="00021BF8" w:rsidRPr="00E214B3" w:rsidRDefault="00021BF8" w:rsidP="00E57DEE">
                            <w:pPr>
                              <w:pStyle w:val="Subtitle1"/>
                              <w:jc w:val="center"/>
                              <w:rPr>
                                <w:color w:val="548DD4" w:themeColor="text2" w:themeTint="99"/>
                                <w:sz w:val="32"/>
                                <w:szCs w:val="48"/>
                              </w:rPr>
                            </w:pPr>
                          </w:p>
                          <w:p w14:paraId="21172EC4" w14:textId="77777777" w:rsidR="00021BF8" w:rsidRPr="00E214B3" w:rsidRDefault="00021BF8" w:rsidP="00E57DEE">
                            <w:pPr>
                              <w:jc w:val="center"/>
                              <w:rPr>
                                <w:color w:val="548DD4" w:themeColor="text2" w:themeTint="99"/>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6A65FF" id="Text Box 9" o:spid="_x0000_s1027" type="#_x0000_t202" style="position:absolute;margin-left:34.5pt;margin-top:381pt;width:480.25pt;height:131.4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" filled="f" stroked="f">
                <v:textbox inset="0,0,0,0">
                  <w:txbxContent>
                    <w:p w14:paraId="0939B36C" w14:textId="46618828" w:rsidR="00021BF8" w:rsidRPr="00E214B3" w:rsidRDefault="003675F0" w:rsidP="00E57DEE">
                      <w:pPr>
                        <w:pStyle w:val="Bluehead2"/>
                        <w:spacing w:line="360" w:lineRule="auto"/>
                        <w:jc w:val="center"/>
                        <w:rPr>
                          <w:color w:val="548DD4" w:themeColor="text2" w:themeTint="99"/>
                          <w:sz w:val="22"/>
                          <w:szCs w:val="22"/>
                        </w:rPr>
                      </w:pPr>
                      <w:r>
                        <w:rPr>
                          <w:rFonts w:asciiTheme="minorBidi" w:hAnsiTheme="minorBidi"/>
                          <w:color w:val="548DD4" w:themeColor="text2" w:themeTint="99"/>
                          <w:sz w:val="32"/>
                          <w:szCs w:val="32"/>
                          <w:lang w:eastAsia="zh-CN"/>
                        </w:rPr>
                        <w:t xml:space="preserve">Strong US Dollar, </w:t>
                      </w:r>
                      <w:r w:rsidR="00150818">
                        <w:rPr>
                          <w:rFonts w:asciiTheme="minorBidi" w:hAnsiTheme="minorBidi"/>
                          <w:color w:val="548DD4" w:themeColor="text2" w:themeTint="99"/>
                          <w:sz w:val="32"/>
                          <w:szCs w:val="32"/>
                          <w:lang w:eastAsia="zh-CN"/>
                        </w:rPr>
                        <w:t xml:space="preserve">High </w:t>
                      </w:r>
                      <w:r>
                        <w:rPr>
                          <w:rFonts w:asciiTheme="minorBidi" w:hAnsiTheme="minorBidi"/>
                          <w:color w:val="548DD4" w:themeColor="text2" w:themeTint="99"/>
                          <w:sz w:val="32"/>
                          <w:szCs w:val="32"/>
                          <w:lang w:eastAsia="zh-CN"/>
                        </w:rPr>
                        <w:t>Interest Rates, global growth slowdown: The implications for Mauritius</w:t>
                      </w:r>
                      <w:r w:rsidR="00A979CE" w:rsidRPr="00E214B3">
                        <w:rPr>
                          <w:rFonts w:asciiTheme="minorBidi" w:hAnsiTheme="minorBidi"/>
                          <w:color w:val="548DD4" w:themeColor="text2" w:themeTint="99"/>
                          <w:sz w:val="32"/>
                          <w:szCs w:val="32"/>
                          <w:lang w:eastAsia="zh-CN"/>
                        </w:rPr>
                        <w:t xml:space="preserve"> </w:t>
                      </w:r>
                    </w:p>
                    <w:p w14:paraId="05A4DF4D" w14:textId="77777777" w:rsidR="00021BF8" w:rsidRPr="00E214B3" w:rsidRDefault="00021BF8" w:rsidP="00E57DEE">
                      <w:pPr>
                        <w:pStyle w:val="Subtitle1"/>
                        <w:jc w:val="center"/>
                        <w:rPr>
                          <w:color w:val="548DD4" w:themeColor="text2" w:themeTint="99"/>
                          <w:sz w:val="32"/>
                          <w:szCs w:val="48"/>
                        </w:rPr>
                      </w:pPr>
                    </w:p>
                    <w:p w14:paraId="21172EC4" w14:textId="77777777" w:rsidR="00021BF8" w:rsidRPr="00E214B3" w:rsidRDefault="00021BF8" w:rsidP="00E57DEE">
                      <w:pPr>
                        <w:jc w:val="center"/>
                        <w:rPr>
                          <w:color w:val="548DD4" w:themeColor="text2" w:themeTint="99"/>
                          <w:sz w:val="28"/>
                          <w:szCs w:val="28"/>
                        </w:rPr>
                      </w:pPr>
                    </w:p>
                  </w:txbxContent>
                </v:textbox>
                <w10:wrap type="square" anchorx="margin" anchory="page"/>
              </v:shape>
            </w:pict>
          </mc:Fallback>
        </mc:AlternateContent>
      </w:r>
      <w:r w:rsidR="0036508A" w:rsidRPr="00F13FBC">
        <w:rPr>
          <w:rFonts w:asciiTheme="majorHAnsi" w:hAnsiTheme="majorHAnsi" w:cstheme="majorHAnsi"/>
          <w:noProof/>
          <w:lang w:eastAsia="zh-CN"/>
        </w:rPr>
        <mc:AlternateContent>
          <mc:Choice Requires="wps">
            <w:drawing>
              <wp:anchor distT="0" distB="0" distL="114300" distR="114300" simplePos="0" relativeHeight="251640832" behindDoc="0" locked="0" layoutInCell="1" allowOverlap="1" wp14:anchorId="5CE02374" wp14:editId="493FFE7B">
                <wp:simplePos x="0" y="0"/>
                <wp:positionH relativeFrom="margin">
                  <wp:align>center</wp:align>
                </wp:positionH>
                <wp:positionV relativeFrom="page">
                  <wp:posOffset>3631713</wp:posOffset>
                </wp:positionV>
                <wp:extent cx="1943100" cy="57150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FAA26D3D-D897-4be2-8F04-BA451C77F1D7}">
                            <ma14:placeholder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AA189" w14:textId="59914906" w:rsidR="00E4778E" w:rsidRPr="009D71EF" w:rsidRDefault="00137465" w:rsidP="0036508A">
                            <w:pPr>
                              <w:pStyle w:val="YEAR"/>
                              <w:rPr>
                                <w:sz w:val="24"/>
                                <w:szCs w:val="24"/>
                              </w:rPr>
                            </w:pPr>
                            <w:r>
                              <w:rPr>
                                <w:sz w:val="24"/>
                                <w:szCs w:val="24"/>
                              </w:rPr>
                              <w:t>October</w:t>
                            </w:r>
                            <w:r w:rsidR="0019629B" w:rsidRPr="009D71EF">
                              <w:rPr>
                                <w:sz w:val="24"/>
                                <w:szCs w:val="24"/>
                              </w:rPr>
                              <w:t xml:space="preserve"> 202</w:t>
                            </w:r>
                            <w:r>
                              <w:rPr>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E02374" id="Text Box 167" o:spid="_x0000_s1028" type="#_x0000_t202" style="position:absolute;margin-left:0;margin-top:285.95pt;width:153pt;height:4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" filled="f" stroked="f">
                <v:textbox inset="0,0,0,0">
                  <w:txbxContent>
                    <w:p w14:paraId="125AA189" w14:textId="59914906" w:rsidR="00E4778E" w:rsidRPr="009D71EF" w:rsidRDefault="00137465" w:rsidP="0036508A">
                      <w:pPr>
                        <w:pStyle w:val="YEAR"/>
                        <w:rPr>
                          <w:sz w:val="24"/>
                          <w:szCs w:val="24"/>
                        </w:rPr>
                      </w:pPr>
                      <w:r>
                        <w:rPr>
                          <w:sz w:val="24"/>
                          <w:szCs w:val="24"/>
                        </w:rPr>
                        <w:t>October</w:t>
                      </w:r>
                      <w:r w:rsidR="0019629B" w:rsidRPr="009D71EF">
                        <w:rPr>
                          <w:sz w:val="24"/>
                          <w:szCs w:val="24"/>
                        </w:rPr>
                        <w:t xml:space="preserve"> 202</w:t>
                      </w:r>
                      <w:r>
                        <w:rPr>
                          <w:sz w:val="24"/>
                          <w:szCs w:val="24"/>
                        </w:rPr>
                        <w:t>2</w:t>
                      </w:r>
                    </w:p>
                  </w:txbxContent>
                </v:textbox>
                <w10:wrap anchorx="margin" anchory="page"/>
              </v:shape>
            </w:pict>
          </mc:Fallback>
        </mc:AlternateContent>
      </w:r>
      <w:r w:rsidR="0014026E" w:rsidRPr="00F13FBC">
        <w:rPr>
          <w:rFonts w:asciiTheme="majorHAnsi" w:hAnsiTheme="majorHAnsi" w:cstheme="majorHAnsi"/>
        </w:rPr>
        <w:br w:type="page"/>
      </w:r>
    </w:p>
    <w:tbl>
      <w:tblPr>
        <w:tblStyle w:val="TableGrid1"/>
        <w:tblpPr w:leftFromText="180" w:rightFromText="180" w:vertAnchor="text" w:horzAnchor="margin" w:tblpY="-21"/>
        <w:tblW w:w="0" w:type="auto"/>
        <w:tblLook w:val="04A0" w:firstRow="1" w:lastRow="0" w:firstColumn="1" w:lastColumn="0" w:noHBand="0" w:noVBand="1"/>
      </w:tblPr>
      <w:tblGrid>
        <w:gridCol w:w="7075"/>
        <w:gridCol w:w="74"/>
        <w:gridCol w:w="5884"/>
      </w:tblGrid>
      <w:tr w:rsidR="002479DC" w:rsidRPr="0019629B" w14:paraId="3C1764D3" w14:textId="77777777" w:rsidTr="00497A8F">
        <w:trPr>
          <w:trHeight w:val="553"/>
        </w:trPr>
        <w:tc>
          <w:tcPr>
            <w:tcW w:w="13033" w:type="dxa"/>
            <w:gridSpan w:val="3"/>
            <w:shd w:val="clear" w:color="auto" w:fill="008080"/>
          </w:tcPr>
          <w:p w14:paraId="3EC750F9" w14:textId="77777777" w:rsidR="00497A8F" w:rsidRDefault="00497A8F" w:rsidP="002479DC">
            <w:pPr>
              <w:jc w:val="center"/>
              <w:rPr>
                <w:rFonts w:ascii="Arial" w:eastAsia="Times New Roman" w:hAnsi="Arial" w:cs="Arial"/>
                <w:b/>
                <w:bCs/>
                <w:noProof/>
                <w:color w:val="FFFFFF" w:themeColor="background1"/>
                <w:sz w:val="32"/>
                <w:szCs w:val="32"/>
              </w:rPr>
            </w:pPr>
          </w:p>
          <w:p w14:paraId="0F1E329F" w14:textId="77777777" w:rsidR="002479DC" w:rsidRDefault="002479DC" w:rsidP="002479DC">
            <w:pPr>
              <w:jc w:val="center"/>
              <w:rPr>
                <w:rFonts w:ascii="Arial" w:eastAsia="Times New Roman" w:hAnsi="Arial" w:cs="Arial"/>
                <w:b/>
                <w:bCs/>
                <w:noProof/>
                <w:color w:val="FFFFFF" w:themeColor="background1"/>
                <w:sz w:val="32"/>
                <w:szCs w:val="32"/>
              </w:rPr>
            </w:pPr>
            <w:r w:rsidRPr="002479DC">
              <w:rPr>
                <w:rFonts w:ascii="Arial" w:eastAsia="Times New Roman" w:hAnsi="Arial" w:cs="Arial"/>
                <w:b/>
                <w:bCs/>
                <w:noProof/>
                <w:color w:val="FFFFFF" w:themeColor="background1"/>
                <w:sz w:val="32"/>
                <w:szCs w:val="32"/>
              </w:rPr>
              <w:t>Persisting inflation and strong US Dollar</w:t>
            </w:r>
          </w:p>
          <w:p w14:paraId="175BE971" w14:textId="7F7A3A5E" w:rsidR="00497A8F" w:rsidRPr="00497A8F" w:rsidRDefault="00497A8F" w:rsidP="002479DC">
            <w:pPr>
              <w:jc w:val="center"/>
              <w:rPr>
                <w:rFonts w:ascii="Arial" w:eastAsia="Times New Roman" w:hAnsi="Arial" w:cs="Arial"/>
                <w:b/>
                <w:bCs/>
                <w:noProof/>
                <w:color w:val="006666"/>
                <w:sz w:val="32"/>
                <w:szCs w:val="32"/>
              </w:rPr>
            </w:pPr>
          </w:p>
        </w:tc>
      </w:tr>
      <w:tr w:rsidR="002479DC" w:rsidRPr="0019629B" w14:paraId="2E0B30D3" w14:textId="77777777" w:rsidTr="00497A8F">
        <w:trPr>
          <w:trHeight w:val="3521"/>
        </w:trPr>
        <w:tc>
          <w:tcPr>
            <w:tcW w:w="7149" w:type="dxa"/>
            <w:gridSpan w:val="2"/>
          </w:tcPr>
          <w:p w14:paraId="6883C525" w14:textId="7EF58A0E" w:rsidR="002479DC" w:rsidRDefault="002479DC" w:rsidP="002479DC">
            <w:pPr>
              <w:jc w:val="center"/>
              <w:rPr>
                <w:rFonts w:ascii="Arial" w:eastAsia="Times New Roman" w:hAnsi="Arial" w:cs="Arial"/>
                <w:color w:val="006666"/>
              </w:rPr>
            </w:pPr>
            <w:r w:rsidRPr="002479DC">
              <w:rPr>
                <w:rFonts w:ascii="Arial" w:eastAsia="Times New Roman" w:hAnsi="Arial" w:cs="Arial"/>
                <w:noProof/>
                <w:color w:val="006666"/>
              </w:rPr>
              <w:drawing>
                <wp:inline distT="0" distB="0" distL="0" distR="0" wp14:anchorId="0A22B974" wp14:editId="71FA3D8C">
                  <wp:extent cx="1080000" cy="1080000"/>
                  <wp:effectExtent l="0" t="0" r="0" b="0"/>
                  <wp:docPr id="5" name="Graphic 5" descr="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Upward trend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080000" cy="1080000"/>
                          </a:xfrm>
                          <a:prstGeom prst="rect">
                            <a:avLst/>
                          </a:prstGeom>
                        </pic:spPr>
                      </pic:pic>
                    </a:graphicData>
                  </a:graphic>
                </wp:inline>
              </w:drawing>
            </w:r>
          </w:p>
          <w:p w14:paraId="2CBE257C" w14:textId="77777777" w:rsidR="00497A8F" w:rsidRPr="002479DC" w:rsidRDefault="00497A8F" w:rsidP="002479DC">
            <w:pPr>
              <w:jc w:val="center"/>
              <w:rPr>
                <w:rFonts w:ascii="Arial" w:eastAsia="Times New Roman" w:hAnsi="Arial" w:cs="Arial"/>
                <w:color w:val="006666"/>
              </w:rPr>
            </w:pPr>
          </w:p>
          <w:p w14:paraId="04569886" w14:textId="0737B3B3" w:rsidR="002479DC" w:rsidRPr="00497A8F" w:rsidRDefault="002479DC" w:rsidP="00497A8F">
            <w:pPr>
              <w:jc w:val="center"/>
              <w:rPr>
                <w:rFonts w:ascii="Arial" w:eastAsia="Times New Roman" w:hAnsi="Arial" w:cs="Arial"/>
                <w:color w:val="006666"/>
                <w:sz w:val="24"/>
                <w:szCs w:val="24"/>
              </w:rPr>
            </w:pPr>
            <w:r w:rsidRPr="002479DC">
              <w:rPr>
                <w:rFonts w:ascii="Arial" w:eastAsia="Times New Roman" w:hAnsi="Arial" w:cs="Arial"/>
                <w:color w:val="006666"/>
                <w:sz w:val="24"/>
                <w:szCs w:val="24"/>
              </w:rPr>
              <w:t xml:space="preserve">By the end of 2021, after COVID restrictions were progressively lifted, a strong rebound in demand, high commodity prices and persisting supply chain disruptions fueled global inflation, which accelerated when oil and food prices skyrocketed after the invasion of Ukraine </w:t>
            </w:r>
          </w:p>
        </w:tc>
        <w:tc>
          <w:tcPr>
            <w:tcW w:w="5884" w:type="dxa"/>
          </w:tcPr>
          <w:p w14:paraId="0925F632" w14:textId="15B0DD31" w:rsidR="002479DC" w:rsidRDefault="002479DC" w:rsidP="002479DC">
            <w:pPr>
              <w:jc w:val="center"/>
              <w:rPr>
                <w:rFonts w:ascii="Arial" w:eastAsia="Times New Roman" w:hAnsi="Arial" w:cs="Arial"/>
                <w:color w:val="006666"/>
              </w:rPr>
            </w:pPr>
            <w:r w:rsidRPr="003D1FDE">
              <w:rPr>
                <w:rFonts w:asciiTheme="majorHAnsi" w:eastAsia="Times New Roman" w:hAnsiTheme="majorHAnsi" w:cstheme="majorHAnsi"/>
                <w:noProof/>
              </w:rPr>
              <w:drawing>
                <wp:inline distT="0" distB="0" distL="0" distR="0" wp14:anchorId="0C084111" wp14:editId="0B774F6E">
                  <wp:extent cx="1080000" cy="1080000"/>
                  <wp:effectExtent l="0" t="0" r="0" b="6350"/>
                  <wp:docPr id="19" name="Graphic 19"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Dollar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1080000" cy="1080000"/>
                          </a:xfrm>
                          <a:prstGeom prst="rect">
                            <a:avLst/>
                          </a:prstGeom>
                        </pic:spPr>
                      </pic:pic>
                    </a:graphicData>
                  </a:graphic>
                </wp:inline>
              </w:drawing>
            </w:r>
          </w:p>
          <w:p w14:paraId="3D225DCB" w14:textId="77777777" w:rsidR="00497A8F" w:rsidRDefault="00497A8F" w:rsidP="002479DC">
            <w:pPr>
              <w:jc w:val="center"/>
              <w:rPr>
                <w:rFonts w:ascii="Arial" w:eastAsia="Times New Roman" w:hAnsi="Arial" w:cs="Arial"/>
                <w:color w:val="006666"/>
              </w:rPr>
            </w:pPr>
          </w:p>
          <w:p w14:paraId="10628168" w14:textId="24E1D867" w:rsidR="002479DC" w:rsidRPr="00497A8F" w:rsidRDefault="002479DC" w:rsidP="00497A8F">
            <w:pPr>
              <w:jc w:val="center"/>
              <w:rPr>
                <w:rFonts w:ascii="Arial" w:eastAsia="Times New Roman" w:hAnsi="Arial" w:cs="Arial"/>
                <w:color w:val="006666"/>
              </w:rPr>
            </w:pPr>
            <w:r w:rsidRPr="00497A8F">
              <w:rPr>
                <w:rFonts w:ascii="Arial" w:eastAsia="Times New Roman" w:hAnsi="Arial" w:cs="Arial"/>
                <w:color w:val="006666"/>
                <w:sz w:val="24"/>
                <w:szCs w:val="24"/>
              </w:rPr>
              <w:t>The value of the US Dollar, a traditional haven in times of crises and uncertainty, is very high, with critical implication for emerging economies, especially when Foreign Direct Investment is a driver of growth, and for heavily indebted countries</w:t>
            </w:r>
          </w:p>
        </w:tc>
      </w:tr>
      <w:tr w:rsidR="002479DC" w:rsidRPr="0019629B" w14:paraId="49DAA347" w14:textId="77777777" w:rsidTr="00497A8F">
        <w:trPr>
          <w:trHeight w:val="543"/>
        </w:trPr>
        <w:tc>
          <w:tcPr>
            <w:tcW w:w="13033" w:type="dxa"/>
            <w:gridSpan w:val="3"/>
            <w:shd w:val="clear" w:color="auto" w:fill="008080"/>
          </w:tcPr>
          <w:p w14:paraId="7639E797" w14:textId="77777777" w:rsidR="00497A8F" w:rsidRDefault="00497A8F" w:rsidP="002479DC">
            <w:pPr>
              <w:jc w:val="center"/>
              <w:rPr>
                <w:rFonts w:asciiTheme="majorHAnsi" w:eastAsia="Times New Roman" w:hAnsiTheme="majorHAnsi" w:cstheme="majorHAnsi"/>
                <w:b/>
                <w:bCs/>
                <w:noProof/>
                <w:color w:val="FFFFFF" w:themeColor="background1"/>
                <w:sz w:val="32"/>
                <w:szCs w:val="32"/>
              </w:rPr>
            </w:pPr>
          </w:p>
          <w:p w14:paraId="2A52CAF1" w14:textId="77777777" w:rsidR="002479DC" w:rsidRPr="00497A8F" w:rsidRDefault="002479DC" w:rsidP="002479DC">
            <w:pPr>
              <w:jc w:val="center"/>
              <w:rPr>
                <w:rFonts w:ascii="Arial" w:eastAsia="Times New Roman" w:hAnsi="Arial" w:cs="Arial"/>
                <w:b/>
                <w:bCs/>
                <w:noProof/>
                <w:color w:val="FFFFFF" w:themeColor="background1"/>
                <w:sz w:val="32"/>
                <w:szCs w:val="32"/>
              </w:rPr>
            </w:pPr>
            <w:r w:rsidRPr="00497A8F">
              <w:rPr>
                <w:rFonts w:ascii="Arial" w:eastAsia="Times New Roman" w:hAnsi="Arial" w:cs="Arial"/>
                <w:b/>
                <w:bCs/>
                <w:noProof/>
                <w:color w:val="FFFFFF" w:themeColor="background1"/>
                <w:sz w:val="32"/>
                <w:szCs w:val="32"/>
              </w:rPr>
              <w:t>Hiking interest rates and possible global recession</w:t>
            </w:r>
          </w:p>
          <w:p w14:paraId="7E5CD169" w14:textId="26767AD3" w:rsidR="00497A8F" w:rsidRPr="00497A8F" w:rsidRDefault="00497A8F" w:rsidP="002479DC">
            <w:pPr>
              <w:jc w:val="center"/>
              <w:rPr>
                <w:rFonts w:asciiTheme="majorHAnsi" w:eastAsia="Times New Roman" w:hAnsiTheme="majorHAnsi" w:cstheme="majorHAnsi"/>
                <w:b/>
                <w:bCs/>
                <w:noProof/>
                <w:sz w:val="32"/>
                <w:szCs w:val="44"/>
              </w:rPr>
            </w:pPr>
          </w:p>
        </w:tc>
      </w:tr>
      <w:tr w:rsidR="002479DC" w:rsidRPr="0019629B" w14:paraId="00850523" w14:textId="77777777" w:rsidTr="00497A8F">
        <w:trPr>
          <w:trHeight w:val="3116"/>
        </w:trPr>
        <w:tc>
          <w:tcPr>
            <w:tcW w:w="7075" w:type="dxa"/>
          </w:tcPr>
          <w:p w14:paraId="63B6B7A1" w14:textId="3697076B" w:rsidR="002479DC" w:rsidRDefault="002479DC" w:rsidP="002479DC">
            <w:pPr>
              <w:jc w:val="center"/>
              <w:rPr>
                <w:rFonts w:ascii="Arial" w:eastAsia="Times New Roman" w:hAnsi="Arial" w:cs="Arial"/>
                <w:color w:val="006666"/>
              </w:rPr>
            </w:pPr>
            <w:r w:rsidRPr="003D1FDE">
              <w:rPr>
                <w:rFonts w:asciiTheme="majorHAnsi" w:eastAsia="Times New Roman" w:hAnsiTheme="majorHAnsi" w:cstheme="majorHAnsi"/>
                <w:noProof/>
              </w:rPr>
              <w:drawing>
                <wp:inline distT="0" distB="0" distL="0" distR="0" wp14:anchorId="3B6DD0C1" wp14:editId="41ECD60F">
                  <wp:extent cx="1080000" cy="1080000"/>
                  <wp:effectExtent l="0" t="0" r="0" b="0"/>
                  <wp:docPr id="22" name="Graphic 22" descr="Muscula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shake.svg"/>
                          <pic:cNvPicPr/>
                        </pic:nvPicPr>
                        <pic:blipFill>
                          <a:blip r:embed="rId16">
                            <a:extLst>
                              <a:ext uri="{96DAC541-7B7A-43D3-8B79-37D633B846F1}">
                                <asvg:svgBlip xmlns:asvg="http://schemas.microsoft.com/office/drawing/2016/SVG/main" r:embed="rId17"/>
                              </a:ext>
                            </a:extLst>
                          </a:blip>
                          <a:stretch>
                            <a:fillRect/>
                          </a:stretch>
                        </pic:blipFill>
                        <pic:spPr>
                          <a:xfrm>
                            <a:off x="0" y="0"/>
                            <a:ext cx="1080000" cy="1080000"/>
                          </a:xfrm>
                          <a:prstGeom prst="rect">
                            <a:avLst/>
                          </a:prstGeom>
                        </pic:spPr>
                      </pic:pic>
                    </a:graphicData>
                  </a:graphic>
                </wp:inline>
              </w:drawing>
            </w:r>
          </w:p>
          <w:p w14:paraId="73AF7759" w14:textId="77777777" w:rsidR="002479DC" w:rsidRPr="002479DC" w:rsidRDefault="002479DC" w:rsidP="002479DC">
            <w:pPr>
              <w:jc w:val="center"/>
              <w:rPr>
                <w:rFonts w:ascii="Arial" w:eastAsia="Times New Roman" w:hAnsi="Arial" w:cs="Arial"/>
                <w:color w:val="006666"/>
                <w:sz w:val="20"/>
                <w:szCs w:val="20"/>
              </w:rPr>
            </w:pPr>
            <w:r w:rsidRPr="002479DC">
              <w:rPr>
                <w:rFonts w:ascii="Arial" w:eastAsia="Times New Roman" w:hAnsi="Arial" w:cs="Arial"/>
                <w:color w:val="006666"/>
                <w:sz w:val="24"/>
                <w:szCs w:val="24"/>
              </w:rPr>
              <w:t>To fight inflation by cooling global demand and investments, Central Banks around the World, and among them the US Federal Bank, are increasing their interest rates aggressively, raising fears of a global recession</w:t>
            </w:r>
          </w:p>
          <w:p w14:paraId="2D8285B2" w14:textId="77777777" w:rsidR="002479DC" w:rsidRPr="00AA1D2E" w:rsidRDefault="002479DC" w:rsidP="002479DC">
            <w:pPr>
              <w:jc w:val="center"/>
              <w:rPr>
                <w:rFonts w:ascii="Arial" w:eastAsia="Times New Roman" w:hAnsi="Arial" w:cs="Arial"/>
                <w:color w:val="006666"/>
                <w:sz w:val="18"/>
                <w:szCs w:val="18"/>
              </w:rPr>
            </w:pPr>
          </w:p>
        </w:tc>
        <w:tc>
          <w:tcPr>
            <w:tcW w:w="5958" w:type="dxa"/>
            <w:gridSpan w:val="2"/>
          </w:tcPr>
          <w:p w14:paraId="034FDAF4" w14:textId="77777777" w:rsidR="002479DC" w:rsidRPr="0019629B" w:rsidRDefault="002479DC" w:rsidP="002479DC">
            <w:pPr>
              <w:jc w:val="center"/>
              <w:rPr>
                <w:rFonts w:asciiTheme="majorHAnsi" w:eastAsia="Times New Roman" w:hAnsiTheme="majorHAnsi" w:cstheme="majorHAnsi"/>
              </w:rPr>
            </w:pPr>
            <w:r w:rsidRPr="00320C2C">
              <w:rPr>
                <w:rFonts w:asciiTheme="majorHAnsi" w:eastAsia="Times New Roman" w:hAnsiTheme="majorHAnsi" w:cstheme="majorHAnsi"/>
                <w:noProof/>
              </w:rPr>
              <w:drawing>
                <wp:inline distT="0" distB="0" distL="0" distR="0" wp14:anchorId="1A1EEF66" wp14:editId="2EAC00E8">
                  <wp:extent cx="1080000" cy="1080000"/>
                  <wp:effectExtent l="0" t="0" r="6350" b="0"/>
                  <wp:docPr id="4" name="Graphic 4" descr="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gboat.svg"/>
                          <pic:cNvPicPr/>
                        </pic:nvPicPr>
                        <pic:blipFill>
                          <a:blip r:embed="rId18">
                            <a:extLst>
                              <a:ext uri="{96DAC541-7B7A-43D3-8B79-37D633B846F1}">
                                <asvg:svgBlip xmlns:asvg="http://schemas.microsoft.com/office/drawing/2016/SVG/main" r:embed="rId19"/>
                              </a:ext>
                            </a:extLst>
                          </a:blip>
                          <a:stretch>
                            <a:fillRect/>
                          </a:stretch>
                        </pic:blipFill>
                        <pic:spPr>
                          <a:xfrm>
                            <a:off x="0" y="0"/>
                            <a:ext cx="1080000" cy="1080000"/>
                          </a:xfrm>
                          <a:prstGeom prst="rect">
                            <a:avLst/>
                          </a:prstGeom>
                        </pic:spPr>
                      </pic:pic>
                    </a:graphicData>
                  </a:graphic>
                </wp:inline>
              </w:drawing>
            </w:r>
          </w:p>
          <w:p w14:paraId="298F7B96" w14:textId="66E63073" w:rsidR="002479DC" w:rsidRPr="0019629B" w:rsidRDefault="002479DC" w:rsidP="002479DC">
            <w:pPr>
              <w:jc w:val="center"/>
              <w:rPr>
                <w:rFonts w:asciiTheme="majorHAnsi" w:eastAsia="DengXian" w:hAnsiTheme="majorHAnsi" w:cstheme="majorHAnsi"/>
              </w:rPr>
            </w:pPr>
            <w:r w:rsidRPr="002479DC">
              <w:rPr>
                <w:rFonts w:ascii="Arial" w:eastAsia="Times New Roman" w:hAnsi="Arial" w:cs="Arial"/>
                <w:color w:val="006666"/>
                <w:sz w:val="24"/>
                <w:szCs w:val="24"/>
              </w:rPr>
              <w:t xml:space="preserve">GDP growth should slow in 2022 and probably throughout 2023, </w:t>
            </w:r>
            <w:r w:rsidR="00497A8F" w:rsidRPr="002479DC">
              <w:rPr>
                <w:rFonts w:ascii="Arial" w:eastAsia="Times New Roman" w:hAnsi="Arial" w:cs="Arial"/>
                <w:color w:val="006666"/>
                <w:sz w:val="24"/>
                <w:szCs w:val="24"/>
              </w:rPr>
              <w:t>because of</w:t>
            </w:r>
            <w:r w:rsidRPr="002479DC">
              <w:rPr>
                <w:rFonts w:ascii="Arial" w:eastAsia="Times New Roman" w:hAnsi="Arial" w:cs="Arial"/>
                <w:color w:val="006666"/>
                <w:sz w:val="24"/>
                <w:szCs w:val="24"/>
              </w:rPr>
              <w:t xml:space="preserve"> inflation and the combined effect of monetary policies around the World, as well as ba</w:t>
            </w:r>
            <w:r w:rsidR="00497A8F">
              <w:rPr>
                <w:rFonts w:ascii="Arial" w:eastAsia="Times New Roman" w:hAnsi="Arial" w:cs="Arial"/>
                <w:color w:val="006666"/>
                <w:sz w:val="24"/>
                <w:szCs w:val="24"/>
              </w:rPr>
              <w:t>d</w:t>
            </w:r>
            <w:r w:rsidRPr="002479DC">
              <w:rPr>
                <w:rFonts w:ascii="Arial" w:eastAsia="Times New Roman" w:hAnsi="Arial" w:cs="Arial"/>
                <w:color w:val="006666"/>
                <w:sz w:val="24"/>
                <w:szCs w:val="24"/>
              </w:rPr>
              <w:t xml:space="preserve"> performance from major markets (China, Europe, US) for different reasons</w:t>
            </w:r>
          </w:p>
        </w:tc>
      </w:tr>
    </w:tbl>
    <w:p w14:paraId="7DA452A6" w14:textId="20ACDEC0" w:rsidR="0019629B" w:rsidRPr="0019629B" w:rsidRDefault="00497A8F" w:rsidP="0019629B">
      <w:pPr>
        <w:spacing w:after="160" w:line="259" w:lineRule="auto"/>
        <w:rPr>
          <w:rFonts w:asciiTheme="majorHAnsi" w:eastAsia="DengXian" w:hAnsiTheme="majorHAnsi" w:cstheme="majorHAnsi"/>
          <w:sz w:val="22"/>
          <w:szCs w:val="22"/>
          <w:lang w:eastAsia="zh-CN"/>
        </w:rPr>
      </w:pPr>
      <w:r w:rsidRPr="003679E3">
        <w:rPr>
          <w:rFonts w:ascii="Arial" w:eastAsia="DengXian" w:hAnsi="Arial" w:cs="Arial"/>
          <w:noProof/>
          <w:color w:val="006666"/>
          <w:sz w:val="22"/>
          <w:szCs w:val="22"/>
          <w:lang w:eastAsia="zh-CN"/>
        </w:rPr>
        <mc:AlternateContent>
          <mc:Choice Requires="wps">
            <w:drawing>
              <wp:anchor distT="45720" distB="45720" distL="182880" distR="182880" simplePos="0" relativeHeight="251669504" behindDoc="0" locked="0" layoutInCell="1" allowOverlap="0" wp14:anchorId="645A9096" wp14:editId="03EF8DB3">
                <wp:simplePos x="0" y="0"/>
                <wp:positionH relativeFrom="page">
                  <wp:align>right</wp:align>
                </wp:positionH>
                <wp:positionV relativeFrom="paragraph">
                  <wp:posOffset>-908685</wp:posOffset>
                </wp:positionV>
                <wp:extent cx="10687050" cy="752622"/>
                <wp:effectExtent l="0" t="0" r="0" b="9525"/>
                <wp:wrapNone/>
                <wp:docPr id="1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0" cy="752622"/>
                        </a:xfrm>
                        <a:prstGeom prst="rect">
                          <a:avLst/>
                        </a:prstGeom>
                        <a:solidFill>
                          <a:srgbClr val="006666"/>
                        </a:solidFill>
                        <a:ln w="76200" cmpd="dbl">
                          <a:noFill/>
                          <a:miter lim="800000"/>
                          <a:headEnd/>
                          <a:tailEnd/>
                        </a:ln>
                      </wps:spPr>
                      <wps:txbx>
                        <w:txbxContent>
                          <w:p w14:paraId="19DB8063" w14:textId="1A77727B" w:rsidR="00F13FBC" w:rsidRPr="00AE7D2E" w:rsidRDefault="00F13FBC" w:rsidP="00F13FBC">
                            <w:pPr>
                              <w:jc w:val="center"/>
                              <w:rPr>
                                <w:i/>
                                <w:iCs/>
                                <w:caps/>
                                <w:color w:val="FFFFFF" w:themeColor="background1"/>
                                <w:sz w:val="40"/>
                                <w:szCs w:val="36"/>
                              </w:rPr>
                            </w:pPr>
                            <w:r w:rsidRPr="00AE7D2E">
                              <w:rPr>
                                <w:i/>
                                <w:iCs/>
                                <w:caps/>
                                <w:color w:val="FFFFFF" w:themeColor="background1"/>
                                <w:sz w:val="40"/>
                                <w:szCs w:val="40"/>
                              </w:rPr>
                              <w:t>4 news of…</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45A9096" id="Rectangle 4" o:spid="_x0000_s1029" style="position:absolute;margin-left:790.3pt;margin-top:-71.55pt;width:841.5pt;height:59.25pt;z-index:251669504;visibility:visible;mso-wrap-style:square;mso-width-percent:0;mso-height-percent:0;mso-wrap-distance-left:14.4pt;mso-wrap-distance-top:3.6pt;mso-wrap-distance-right:14.4pt;mso-wrap-distance-bottom:3.6pt;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" o:allowoverlap="f" fillcolor="#066" stroked="f" strokeweight="6pt">
                <v:stroke linestyle="thinThin"/>
                <v:textbox inset="14.4pt,14.4pt,14.4pt,14.4pt">
                  <w:txbxContent>
                    <w:p w14:paraId="19DB8063" w14:textId="1A77727B" w:rsidR="00F13FBC" w:rsidRPr="00AE7D2E" w:rsidRDefault="00F13FBC" w:rsidP="00F13FBC">
                      <w:pPr>
                        <w:jc w:val="center"/>
                        <w:rPr>
                          <w:i/>
                          <w:iCs/>
                          <w:caps/>
                          <w:color w:val="FFFFFF" w:themeColor="background1"/>
                          <w:sz w:val="40"/>
                          <w:szCs w:val="36"/>
                        </w:rPr>
                      </w:pPr>
                      <w:r w:rsidRPr="00AE7D2E">
                        <w:rPr>
                          <w:i/>
                          <w:iCs/>
                          <w:caps/>
                          <w:color w:val="FFFFFF" w:themeColor="background1"/>
                          <w:sz w:val="40"/>
                          <w:szCs w:val="40"/>
                        </w:rPr>
                        <w:t>4 news of…</w:t>
                      </w:r>
                    </w:p>
                  </w:txbxContent>
                </v:textbox>
                <w10:wrap anchorx="page"/>
              </v:rect>
            </w:pict>
          </mc:Fallback>
        </mc:AlternateContent>
      </w:r>
    </w:p>
    <w:p w14:paraId="4875CE6B" w14:textId="77777777" w:rsidR="00AE7D2E" w:rsidRDefault="00AE7D2E" w:rsidP="0019629B">
      <w:pPr>
        <w:spacing w:after="160" w:line="259" w:lineRule="auto"/>
        <w:rPr>
          <w:rFonts w:ascii="Arial" w:eastAsia="DengXian" w:hAnsi="Arial" w:cs="Arial"/>
          <w:b/>
          <w:bCs/>
          <w:color w:val="006666"/>
          <w:sz w:val="28"/>
          <w:szCs w:val="28"/>
          <w:lang w:eastAsia="zh-CN"/>
        </w:rPr>
      </w:pPr>
    </w:p>
    <w:p w14:paraId="4CAA5C98" w14:textId="77777777" w:rsidR="00AE7D2E" w:rsidRDefault="00AE7D2E" w:rsidP="0019629B">
      <w:pPr>
        <w:spacing w:after="160" w:line="259" w:lineRule="auto"/>
        <w:rPr>
          <w:rFonts w:ascii="Arial" w:eastAsia="DengXian" w:hAnsi="Arial" w:cs="Arial"/>
          <w:b/>
          <w:bCs/>
          <w:color w:val="006666"/>
          <w:sz w:val="28"/>
          <w:szCs w:val="28"/>
          <w:lang w:eastAsia="zh-CN"/>
        </w:rPr>
      </w:pPr>
    </w:p>
    <w:p w14:paraId="5A6A0314" w14:textId="77777777" w:rsidR="00AE7D2E" w:rsidRDefault="00AE7D2E" w:rsidP="0019629B">
      <w:pPr>
        <w:spacing w:after="160" w:line="259" w:lineRule="auto"/>
        <w:rPr>
          <w:rFonts w:ascii="Arial" w:eastAsia="DengXian" w:hAnsi="Arial" w:cs="Arial"/>
          <w:b/>
          <w:bCs/>
          <w:color w:val="006666"/>
          <w:sz w:val="28"/>
          <w:szCs w:val="28"/>
          <w:lang w:eastAsia="zh-CN"/>
        </w:rPr>
      </w:pPr>
    </w:p>
    <w:p w14:paraId="4CA0BDC2" w14:textId="77777777" w:rsidR="00AE7D2E" w:rsidRDefault="00AE7D2E" w:rsidP="0019629B">
      <w:pPr>
        <w:spacing w:after="160" w:line="259" w:lineRule="auto"/>
        <w:rPr>
          <w:rFonts w:ascii="Arial" w:eastAsia="DengXian" w:hAnsi="Arial" w:cs="Arial"/>
          <w:b/>
          <w:bCs/>
          <w:color w:val="006666"/>
          <w:sz w:val="28"/>
          <w:szCs w:val="28"/>
          <w:lang w:eastAsia="zh-CN"/>
        </w:rPr>
      </w:pPr>
    </w:p>
    <w:p w14:paraId="0D1B9EF4" w14:textId="77777777" w:rsidR="00AE7D2E" w:rsidRDefault="00AE7D2E" w:rsidP="0019629B">
      <w:pPr>
        <w:spacing w:after="160" w:line="259" w:lineRule="auto"/>
        <w:rPr>
          <w:rFonts w:ascii="Arial" w:eastAsia="DengXian" w:hAnsi="Arial" w:cs="Arial"/>
          <w:b/>
          <w:bCs/>
          <w:color w:val="006666"/>
          <w:sz w:val="28"/>
          <w:szCs w:val="28"/>
          <w:lang w:eastAsia="zh-CN"/>
        </w:rPr>
      </w:pPr>
    </w:p>
    <w:p w14:paraId="5B02827A" w14:textId="77777777" w:rsidR="00AE7D2E" w:rsidRDefault="00AE7D2E" w:rsidP="0019629B">
      <w:pPr>
        <w:spacing w:after="160" w:line="259" w:lineRule="auto"/>
        <w:rPr>
          <w:rFonts w:ascii="Arial" w:eastAsia="DengXian" w:hAnsi="Arial" w:cs="Arial"/>
          <w:b/>
          <w:bCs/>
          <w:color w:val="006666"/>
          <w:sz w:val="28"/>
          <w:szCs w:val="28"/>
          <w:lang w:eastAsia="zh-CN"/>
        </w:rPr>
      </w:pPr>
    </w:p>
    <w:p w14:paraId="628B551D" w14:textId="77777777" w:rsidR="00AE7D2E" w:rsidRDefault="00AE7D2E" w:rsidP="0019629B">
      <w:pPr>
        <w:spacing w:after="160" w:line="259" w:lineRule="auto"/>
        <w:rPr>
          <w:rFonts w:ascii="Arial" w:eastAsia="DengXian" w:hAnsi="Arial" w:cs="Arial"/>
          <w:b/>
          <w:bCs/>
          <w:color w:val="006666"/>
          <w:sz w:val="28"/>
          <w:szCs w:val="28"/>
          <w:lang w:eastAsia="zh-CN"/>
        </w:rPr>
      </w:pPr>
    </w:p>
    <w:p w14:paraId="2A9EA57E" w14:textId="77777777" w:rsidR="00AE7D2E" w:rsidRDefault="00AE7D2E" w:rsidP="0019629B">
      <w:pPr>
        <w:spacing w:after="160" w:line="259" w:lineRule="auto"/>
        <w:rPr>
          <w:rFonts w:ascii="Arial" w:eastAsia="DengXian" w:hAnsi="Arial" w:cs="Arial"/>
          <w:b/>
          <w:bCs/>
          <w:color w:val="006666"/>
          <w:sz w:val="28"/>
          <w:szCs w:val="28"/>
          <w:lang w:eastAsia="zh-CN"/>
        </w:rPr>
      </w:pPr>
    </w:p>
    <w:p w14:paraId="578C913B" w14:textId="77777777" w:rsidR="00AE7D2E" w:rsidRDefault="00AE7D2E" w:rsidP="0019629B">
      <w:pPr>
        <w:spacing w:after="160" w:line="259" w:lineRule="auto"/>
        <w:rPr>
          <w:rFonts w:ascii="Arial" w:eastAsia="DengXian" w:hAnsi="Arial" w:cs="Arial"/>
          <w:b/>
          <w:bCs/>
          <w:color w:val="006666"/>
          <w:sz w:val="28"/>
          <w:szCs w:val="28"/>
          <w:lang w:eastAsia="zh-CN"/>
        </w:rPr>
      </w:pPr>
    </w:p>
    <w:p w14:paraId="5F2AA3C5" w14:textId="77777777" w:rsidR="00AE7D2E" w:rsidRDefault="00AE7D2E" w:rsidP="0019629B">
      <w:pPr>
        <w:spacing w:after="160" w:line="259" w:lineRule="auto"/>
        <w:rPr>
          <w:rFonts w:ascii="Arial" w:eastAsia="DengXian" w:hAnsi="Arial" w:cs="Arial"/>
          <w:b/>
          <w:bCs/>
          <w:color w:val="006666"/>
          <w:sz w:val="28"/>
          <w:szCs w:val="28"/>
          <w:lang w:eastAsia="zh-CN"/>
        </w:rPr>
      </w:pPr>
    </w:p>
    <w:p w14:paraId="64E3B57D" w14:textId="77777777" w:rsidR="003A141F" w:rsidRDefault="003A141F" w:rsidP="0019629B">
      <w:pPr>
        <w:spacing w:after="160" w:line="259" w:lineRule="auto"/>
        <w:rPr>
          <w:rFonts w:ascii="Arial" w:eastAsia="DengXian" w:hAnsi="Arial" w:cs="Arial"/>
          <w:b/>
          <w:bCs/>
          <w:color w:val="006666"/>
          <w:sz w:val="28"/>
          <w:szCs w:val="28"/>
          <w:lang w:eastAsia="zh-CN"/>
        </w:rPr>
      </w:pPr>
    </w:p>
    <w:p w14:paraId="48F80E33" w14:textId="77777777" w:rsidR="002479DC" w:rsidRDefault="002479DC" w:rsidP="00200F80">
      <w:pPr>
        <w:pStyle w:val="Subtitle1"/>
        <w:jc w:val="center"/>
        <w:rPr>
          <w:color w:val="006666"/>
          <w:sz w:val="32"/>
          <w:szCs w:val="48"/>
          <w:lang w:eastAsia="zh-CN"/>
        </w:rPr>
      </w:pPr>
    </w:p>
    <w:p w14:paraId="5DC3B004" w14:textId="77777777" w:rsidR="002479DC" w:rsidRDefault="002479DC" w:rsidP="00200F80">
      <w:pPr>
        <w:pStyle w:val="Subtitle1"/>
        <w:jc w:val="center"/>
        <w:rPr>
          <w:color w:val="006666"/>
          <w:sz w:val="32"/>
          <w:szCs w:val="48"/>
          <w:lang w:eastAsia="zh-CN"/>
        </w:rPr>
      </w:pPr>
    </w:p>
    <w:p w14:paraId="5506CCE7" w14:textId="77777777" w:rsidR="002479DC" w:rsidRDefault="002479DC" w:rsidP="00200F80">
      <w:pPr>
        <w:pStyle w:val="Subtitle1"/>
        <w:jc w:val="center"/>
        <w:rPr>
          <w:color w:val="006666"/>
          <w:sz w:val="32"/>
          <w:szCs w:val="48"/>
          <w:lang w:eastAsia="zh-CN"/>
        </w:rPr>
      </w:pPr>
    </w:p>
    <w:p w14:paraId="00CDD91F" w14:textId="77777777" w:rsidR="002479DC" w:rsidRDefault="002479DC" w:rsidP="00200F80">
      <w:pPr>
        <w:pStyle w:val="Subtitle1"/>
        <w:jc w:val="center"/>
        <w:rPr>
          <w:color w:val="006666"/>
          <w:sz w:val="32"/>
          <w:szCs w:val="48"/>
          <w:lang w:eastAsia="zh-CN"/>
        </w:rPr>
      </w:pPr>
    </w:p>
    <w:p w14:paraId="02FEE3FE" w14:textId="77777777" w:rsidR="002479DC" w:rsidRDefault="002479DC" w:rsidP="00200F80">
      <w:pPr>
        <w:pStyle w:val="Subtitle1"/>
        <w:jc w:val="center"/>
        <w:rPr>
          <w:color w:val="006666"/>
          <w:sz w:val="32"/>
          <w:szCs w:val="48"/>
          <w:lang w:eastAsia="zh-CN"/>
        </w:rPr>
      </w:pPr>
    </w:p>
    <w:p w14:paraId="6C2C5370" w14:textId="77777777" w:rsidR="002479DC" w:rsidRDefault="002479DC" w:rsidP="00200F80">
      <w:pPr>
        <w:pStyle w:val="Subtitle1"/>
        <w:jc w:val="center"/>
        <w:rPr>
          <w:color w:val="006666"/>
          <w:sz w:val="32"/>
          <w:szCs w:val="48"/>
          <w:lang w:eastAsia="zh-CN"/>
        </w:rPr>
      </w:pPr>
    </w:p>
    <w:p w14:paraId="71E4C041" w14:textId="47FFC897" w:rsidR="002479DC" w:rsidRDefault="002479DC" w:rsidP="00200F80">
      <w:pPr>
        <w:pStyle w:val="Subtitle1"/>
        <w:jc w:val="center"/>
        <w:rPr>
          <w:color w:val="006666"/>
          <w:sz w:val="32"/>
          <w:szCs w:val="48"/>
          <w:lang w:eastAsia="zh-CN"/>
        </w:rPr>
      </w:pPr>
    </w:p>
    <w:p w14:paraId="3ABF35BA" w14:textId="77777777" w:rsidR="002479DC" w:rsidRDefault="002479DC" w:rsidP="00200F80">
      <w:pPr>
        <w:pStyle w:val="Subtitle1"/>
        <w:jc w:val="center"/>
        <w:rPr>
          <w:color w:val="006666"/>
          <w:sz w:val="32"/>
          <w:szCs w:val="48"/>
          <w:lang w:eastAsia="zh-CN"/>
        </w:rPr>
      </w:pPr>
    </w:p>
    <w:p w14:paraId="4726EAC1" w14:textId="7723EB95" w:rsidR="00200F80" w:rsidRDefault="009D2A9A" w:rsidP="006645A7">
      <w:pPr>
        <w:pStyle w:val="Subtitle1"/>
        <w:jc w:val="center"/>
        <w:rPr>
          <w:color w:val="006666"/>
          <w:sz w:val="32"/>
          <w:szCs w:val="48"/>
          <w:lang w:eastAsia="zh-CN"/>
        </w:rPr>
      </w:pPr>
      <w:r w:rsidRPr="00962D37">
        <w:rPr>
          <w:noProof/>
          <w:sz w:val="24"/>
          <w:szCs w:val="44"/>
          <w:highlight w:val="yellow"/>
        </w:rPr>
        <w:lastRenderedPageBreak/>
        <mc:AlternateContent>
          <mc:Choice Requires="wps">
            <w:drawing>
              <wp:anchor distT="45720" distB="45720" distL="182880" distR="182880" simplePos="0" relativeHeight="251667456" behindDoc="0" locked="0" layoutInCell="1" allowOverlap="0" wp14:anchorId="2E0960DF" wp14:editId="5F6BFD8D">
                <wp:simplePos x="0" y="0"/>
                <wp:positionH relativeFrom="page">
                  <wp:align>left</wp:align>
                </wp:positionH>
                <wp:positionV relativeFrom="page">
                  <wp:align>top</wp:align>
                </wp:positionV>
                <wp:extent cx="10695940" cy="739775"/>
                <wp:effectExtent l="0" t="0" r="0" b="3175"/>
                <wp:wrapNone/>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5940" cy="739775"/>
                        </a:xfrm>
                        <a:prstGeom prst="rect">
                          <a:avLst/>
                        </a:prstGeom>
                        <a:solidFill>
                          <a:srgbClr val="006666"/>
                        </a:solidFill>
                        <a:ln w="76200" cmpd="dbl">
                          <a:noFill/>
                          <a:miter lim="800000"/>
                          <a:headEnd/>
                          <a:tailEnd/>
                        </a:ln>
                      </wps:spPr>
                      <wps:txbx>
                        <w:txbxContent>
                          <w:p w14:paraId="7A407436" w14:textId="2F5064F0" w:rsidR="00F13FBC" w:rsidRPr="00AE7D2E" w:rsidRDefault="00F13FBC">
                            <w:pPr>
                              <w:jc w:val="center"/>
                              <w:rPr>
                                <w:i/>
                                <w:iCs/>
                                <w:caps/>
                                <w:color w:val="FFFFFF" w:themeColor="background1"/>
                                <w:sz w:val="40"/>
                                <w:szCs w:val="36"/>
                              </w:rPr>
                            </w:pPr>
                            <w:r w:rsidRPr="00AE7D2E">
                              <w:rPr>
                                <w:i/>
                                <w:iCs/>
                                <w:caps/>
                                <w:color w:val="FFFFFF" w:themeColor="background1"/>
                                <w:sz w:val="40"/>
                                <w:szCs w:val="40"/>
                              </w:rPr>
                              <w:t>4 GLANCES AT…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xmlns:oel="http://schemas.microsoft.com/office/2019/extlst">
            <w:pict>
              <v:rect w14:anchorId="2E0960DF" id="_x0000_s1030" style="position:absolute;left:0;text-align:left;margin-left:0;margin-top:0;width:842.2pt;height:58.25pt;z-index:251667456;visibility:visible;mso-wrap-style:square;mso-width-percent:0;mso-height-percent:200;mso-wrap-distance-left:14.4pt;mso-wrap-distance-top:3.6pt;mso-wrap-distance-right:14.4pt;mso-wrap-distance-bottom:3.6pt;mso-position-horizontal:left;mso-position-horizontal-relative:page;mso-position-vertical:top;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" o:allowoverlap="f" fillcolor="#066" stroked="f" strokeweight="6pt">
                <v:stroke linestyle="thinThin"/>
                <v:textbox style="mso-fit-shape-to-text:t" inset="14.4pt,14.4pt,14.4pt,14.4pt">
                  <w:txbxContent>
                    <w:p w14:paraId="7A407436" w14:textId="2F5064F0" w:rsidR="00F13FBC" w:rsidRPr="00AE7D2E" w:rsidRDefault="00F13FBC">
                      <w:pPr>
                        <w:jc w:val="center"/>
                        <w:rPr>
                          <w:i/>
                          <w:iCs/>
                          <w:caps/>
                          <w:color w:val="FFFFFF" w:themeColor="background1"/>
                          <w:sz w:val="40"/>
                          <w:szCs w:val="36"/>
                        </w:rPr>
                      </w:pPr>
                      <w:r w:rsidRPr="00AE7D2E">
                        <w:rPr>
                          <w:i/>
                          <w:iCs/>
                          <w:caps/>
                          <w:color w:val="FFFFFF" w:themeColor="background1"/>
                          <w:sz w:val="40"/>
                          <w:szCs w:val="40"/>
                        </w:rPr>
                        <w:t>4 GLANCES AT…</w:t>
                      </w:r>
                    </w:p>
                  </w:txbxContent>
                </v:textbox>
                <w10:wrap anchorx="page" anchory="page"/>
              </v:rect>
            </w:pict>
          </mc:Fallback>
        </mc:AlternateContent>
      </w:r>
      <w:r w:rsidR="002479DC">
        <w:rPr>
          <w:color w:val="006666"/>
          <w:sz w:val="32"/>
          <w:szCs w:val="48"/>
          <w:lang w:eastAsia="zh-CN"/>
        </w:rPr>
        <w:t>Glance #1: Commodit</w:t>
      </w:r>
      <w:r w:rsidR="006645A7">
        <w:rPr>
          <w:color w:val="006666"/>
          <w:sz w:val="32"/>
          <w:szCs w:val="48"/>
          <w:lang w:eastAsia="zh-CN"/>
        </w:rPr>
        <w:t>y</w:t>
      </w:r>
      <w:r w:rsidR="002479DC">
        <w:rPr>
          <w:color w:val="006666"/>
          <w:sz w:val="32"/>
          <w:szCs w:val="48"/>
          <w:lang w:eastAsia="zh-CN"/>
        </w:rPr>
        <w:t xml:space="preserve"> prices’ ups and downs, and steady core inflation</w:t>
      </w:r>
    </w:p>
    <w:p w14:paraId="3811B8E0" w14:textId="77777777" w:rsidR="00A54E66" w:rsidRPr="00200F80" w:rsidRDefault="00A54E66" w:rsidP="006645A7">
      <w:pPr>
        <w:pStyle w:val="Subtitle1"/>
        <w:jc w:val="center"/>
        <w:rPr>
          <w:color w:val="006666"/>
          <w:sz w:val="36"/>
          <w:szCs w:val="52"/>
          <w:lang w:eastAsia="zh-CN"/>
        </w:rPr>
      </w:pPr>
    </w:p>
    <w:p w14:paraId="01C9C1DB" w14:textId="6FF43C98" w:rsidR="00F13FBC" w:rsidRDefault="00236141" w:rsidP="004708C3">
      <w:pPr>
        <w:spacing w:after="160" w:line="259" w:lineRule="auto"/>
        <w:jc w:val="center"/>
        <w:rPr>
          <w:rFonts w:asciiTheme="majorHAnsi" w:eastAsia="DengXian" w:hAnsiTheme="majorHAnsi" w:cstheme="majorHAnsi"/>
          <w:sz w:val="22"/>
          <w:szCs w:val="22"/>
          <w:lang w:val="pt-PT" w:eastAsia="zh-CN"/>
        </w:rPr>
      </w:pPr>
      <w:r w:rsidRPr="00236141">
        <w:rPr>
          <w:rFonts w:asciiTheme="majorHAnsi" w:eastAsia="DengXian" w:hAnsiTheme="majorHAnsi" w:cstheme="majorHAnsi"/>
          <w:noProof/>
          <w:sz w:val="22"/>
          <w:szCs w:val="22"/>
          <w:lang w:eastAsia="zh-CN"/>
        </w:rPr>
        <w:drawing>
          <wp:inline distT="0" distB="0" distL="0" distR="0" wp14:anchorId="359553BF" wp14:editId="3CBA8F11">
            <wp:extent cx="4139565" cy="3599815"/>
            <wp:effectExtent l="0" t="0" r="13335" b="635"/>
            <wp:docPr id="1" name="Chart 1">
              <a:extLst xmlns:a="http://schemas.openxmlformats.org/drawingml/2006/main">
                <a:ext uri="{FF2B5EF4-FFF2-40B4-BE49-F238E27FC236}">
                  <a16:creationId xmlns:a16="http://schemas.microsoft.com/office/drawing/2014/main" id="{37823B26-365A-71A0-7C3E-AEAAE7BAC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708C3">
        <w:rPr>
          <w:rFonts w:asciiTheme="majorHAnsi" w:eastAsia="DengXian" w:hAnsiTheme="majorHAnsi" w:cstheme="majorHAnsi"/>
          <w:sz w:val="22"/>
          <w:szCs w:val="22"/>
          <w:lang w:val="pt-PT" w:eastAsia="zh-CN"/>
        </w:rPr>
        <w:t xml:space="preserve"> </w:t>
      </w:r>
      <w:r w:rsidR="00CB455C" w:rsidRPr="00CB455C">
        <w:rPr>
          <w:rFonts w:asciiTheme="majorHAnsi" w:eastAsia="DengXian" w:hAnsiTheme="majorHAnsi" w:cstheme="majorHAnsi"/>
          <w:noProof/>
          <w:sz w:val="22"/>
          <w:szCs w:val="22"/>
          <w:lang w:eastAsia="zh-CN"/>
        </w:rPr>
        <w:drawing>
          <wp:inline distT="0" distB="0" distL="0" distR="0" wp14:anchorId="07C57DFF" wp14:editId="3E7F4CF8">
            <wp:extent cx="4139565" cy="3599815"/>
            <wp:effectExtent l="0" t="0" r="13335" b="635"/>
            <wp:docPr id="7" name="Chart 7">
              <a:extLst xmlns:a="http://schemas.openxmlformats.org/drawingml/2006/main">
                <a:ext uri="{FF2B5EF4-FFF2-40B4-BE49-F238E27FC236}">
                  <a16:creationId xmlns:a16="http://schemas.microsoft.com/office/drawing/2014/main" id="{FF684EAD-7B68-43EF-AFCD-5F19FE4A6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2B7780" w14:textId="53E27595" w:rsidR="00A54E66" w:rsidRPr="004708C3" w:rsidRDefault="006645A7" w:rsidP="00A54E66">
      <w:pPr>
        <w:pStyle w:val="ListParagraph"/>
        <w:numPr>
          <w:ilvl w:val="0"/>
          <w:numId w:val="7"/>
        </w:numPr>
        <w:spacing w:line="259" w:lineRule="auto"/>
        <w:jc w:val="both"/>
        <w:rPr>
          <w:rFonts w:ascii="Arial" w:eastAsiaTheme="majorEastAsia" w:hAnsi="Arial" w:cs="Arial"/>
          <w:color w:val="006666"/>
          <w:sz w:val="20"/>
          <w:szCs w:val="20"/>
        </w:rPr>
      </w:pPr>
      <w:r w:rsidRPr="004708C3">
        <w:rPr>
          <w:rFonts w:ascii="Arial" w:eastAsiaTheme="majorEastAsia" w:hAnsi="Arial" w:cs="Arial"/>
          <w:color w:val="006666"/>
          <w:sz w:val="20"/>
          <w:szCs w:val="20"/>
        </w:rPr>
        <w:t>The rebound in economic activity following COVID-19, in a context of disrupted supply chains, drove global prices up progressively in 2021. The Ukraine war turbocharged inflation from March 2022 by exerting upward pressure on commodity prices</w:t>
      </w:r>
      <w:r w:rsidR="00894E12" w:rsidRPr="004708C3">
        <w:rPr>
          <w:rFonts w:ascii="Arial" w:eastAsiaTheme="majorEastAsia" w:hAnsi="Arial" w:cs="Arial"/>
          <w:color w:val="006666"/>
          <w:sz w:val="20"/>
          <w:szCs w:val="20"/>
        </w:rPr>
        <w:t>.</w:t>
      </w:r>
      <w:r w:rsidR="00855386" w:rsidRPr="004708C3">
        <w:rPr>
          <w:rFonts w:ascii="Arial" w:eastAsiaTheme="majorEastAsia" w:hAnsi="Arial" w:cs="Arial"/>
          <w:color w:val="006666"/>
          <w:sz w:val="20"/>
          <w:szCs w:val="20"/>
        </w:rPr>
        <w:t xml:space="preserve"> </w:t>
      </w:r>
      <w:r w:rsidRPr="004708C3">
        <w:rPr>
          <w:rFonts w:ascii="Arial" w:eastAsiaTheme="majorEastAsia" w:hAnsi="Arial" w:cs="Arial"/>
          <w:color w:val="006666"/>
          <w:sz w:val="20"/>
          <w:szCs w:val="20"/>
        </w:rPr>
        <w:t>Core inflation</w:t>
      </w:r>
      <w:r w:rsidR="00A54E66" w:rsidRPr="004708C3">
        <w:rPr>
          <w:rFonts w:ascii="Arial" w:eastAsiaTheme="majorEastAsia" w:hAnsi="Arial" w:cs="Arial"/>
          <w:color w:val="006666"/>
          <w:sz w:val="20"/>
          <w:szCs w:val="20"/>
        </w:rPr>
        <w:t xml:space="preserve"> (when all or almost all prices rise)</w:t>
      </w:r>
      <w:r w:rsidRPr="004708C3">
        <w:rPr>
          <w:rFonts w:ascii="Arial" w:eastAsiaTheme="majorEastAsia" w:hAnsi="Arial" w:cs="Arial"/>
          <w:color w:val="006666"/>
          <w:sz w:val="20"/>
          <w:szCs w:val="20"/>
        </w:rPr>
        <w:t xml:space="preserve"> is now installed, going way beyond commodity prices. </w:t>
      </w:r>
    </w:p>
    <w:p w14:paraId="4F5D77E6" w14:textId="10D83B6E" w:rsidR="00A54E66" w:rsidRPr="004708C3" w:rsidRDefault="006645A7" w:rsidP="00A54E66">
      <w:pPr>
        <w:pStyle w:val="ListParagraph"/>
        <w:numPr>
          <w:ilvl w:val="0"/>
          <w:numId w:val="7"/>
        </w:numPr>
        <w:spacing w:line="259" w:lineRule="auto"/>
        <w:jc w:val="both"/>
        <w:rPr>
          <w:rFonts w:ascii="Arial" w:eastAsiaTheme="majorEastAsia" w:hAnsi="Arial" w:cs="Arial"/>
          <w:color w:val="006666"/>
          <w:sz w:val="20"/>
          <w:szCs w:val="20"/>
        </w:rPr>
      </w:pPr>
      <w:r w:rsidRPr="004708C3">
        <w:rPr>
          <w:rFonts w:ascii="Arial" w:eastAsiaTheme="majorEastAsia" w:hAnsi="Arial" w:cs="Arial"/>
          <w:color w:val="006666"/>
          <w:sz w:val="20"/>
          <w:szCs w:val="20"/>
        </w:rPr>
        <w:t>Oil prices are d</w:t>
      </w:r>
      <w:r w:rsidR="00855386" w:rsidRPr="004708C3">
        <w:rPr>
          <w:rFonts w:ascii="Arial" w:eastAsiaTheme="majorEastAsia" w:hAnsi="Arial" w:cs="Arial"/>
          <w:color w:val="006666"/>
          <w:sz w:val="20"/>
          <w:szCs w:val="20"/>
        </w:rPr>
        <w:t xml:space="preserve">own 25% since June but </w:t>
      </w:r>
      <w:r w:rsidR="00A54E66" w:rsidRPr="004708C3">
        <w:rPr>
          <w:rFonts w:ascii="Arial" w:eastAsiaTheme="majorEastAsia" w:hAnsi="Arial" w:cs="Arial"/>
          <w:color w:val="006666"/>
          <w:sz w:val="20"/>
          <w:szCs w:val="20"/>
        </w:rPr>
        <w:t xml:space="preserve">the </w:t>
      </w:r>
      <w:r w:rsidR="00855386" w:rsidRPr="004708C3">
        <w:rPr>
          <w:rFonts w:ascii="Arial" w:eastAsiaTheme="majorEastAsia" w:hAnsi="Arial" w:cs="Arial"/>
          <w:color w:val="006666"/>
          <w:sz w:val="20"/>
          <w:szCs w:val="20"/>
        </w:rPr>
        <w:t>OPEC</w:t>
      </w:r>
      <w:r w:rsidR="00A54E66" w:rsidRPr="004708C3">
        <w:rPr>
          <w:rFonts w:ascii="Arial" w:eastAsiaTheme="majorEastAsia" w:hAnsi="Arial" w:cs="Arial"/>
          <w:color w:val="006666"/>
          <w:sz w:val="20"/>
          <w:szCs w:val="20"/>
        </w:rPr>
        <w:t>+ (the cartel of Oil Producing Countries + Russia)</w:t>
      </w:r>
      <w:r w:rsidR="00855386" w:rsidRPr="004708C3">
        <w:rPr>
          <w:rFonts w:ascii="Arial" w:eastAsiaTheme="majorEastAsia" w:hAnsi="Arial" w:cs="Arial"/>
          <w:color w:val="006666"/>
          <w:sz w:val="20"/>
          <w:szCs w:val="20"/>
        </w:rPr>
        <w:t xml:space="preserve"> announced on the </w:t>
      </w:r>
      <w:r w:rsidR="00A54E66" w:rsidRPr="004708C3">
        <w:rPr>
          <w:rFonts w:ascii="Arial" w:eastAsiaTheme="majorEastAsia" w:hAnsi="Arial" w:cs="Arial"/>
          <w:color w:val="006666"/>
          <w:sz w:val="20"/>
          <w:szCs w:val="20"/>
        </w:rPr>
        <w:t>5</w:t>
      </w:r>
      <w:r w:rsidR="00A54E66" w:rsidRPr="004708C3">
        <w:rPr>
          <w:rFonts w:ascii="Arial" w:eastAsiaTheme="majorEastAsia" w:hAnsi="Arial" w:cs="Arial"/>
          <w:color w:val="006666"/>
          <w:sz w:val="20"/>
          <w:szCs w:val="20"/>
          <w:vertAlign w:val="superscript"/>
        </w:rPr>
        <w:t>th</w:t>
      </w:r>
      <w:r w:rsidR="00855386" w:rsidRPr="004708C3">
        <w:rPr>
          <w:rFonts w:ascii="Arial" w:eastAsiaTheme="majorEastAsia" w:hAnsi="Arial" w:cs="Arial"/>
          <w:color w:val="006666"/>
          <w:sz w:val="20"/>
          <w:szCs w:val="20"/>
        </w:rPr>
        <w:t xml:space="preserve"> of October </w:t>
      </w:r>
      <w:r w:rsidRPr="004708C3">
        <w:rPr>
          <w:rFonts w:ascii="Arial" w:eastAsiaTheme="majorEastAsia" w:hAnsi="Arial" w:cs="Arial"/>
          <w:color w:val="006666"/>
          <w:sz w:val="20"/>
          <w:szCs w:val="20"/>
        </w:rPr>
        <w:t xml:space="preserve">their intention to cut production (by </w:t>
      </w:r>
      <w:r w:rsidR="00A54E66" w:rsidRPr="004708C3">
        <w:rPr>
          <w:rFonts w:ascii="Arial" w:eastAsiaTheme="majorEastAsia" w:hAnsi="Arial" w:cs="Arial"/>
          <w:color w:val="006666"/>
          <w:sz w:val="20"/>
          <w:szCs w:val="20"/>
        </w:rPr>
        <w:t>2</w:t>
      </w:r>
      <w:r w:rsidRPr="004708C3">
        <w:rPr>
          <w:rFonts w:ascii="Arial" w:eastAsiaTheme="majorEastAsia" w:hAnsi="Arial" w:cs="Arial"/>
          <w:color w:val="006666"/>
          <w:sz w:val="20"/>
          <w:szCs w:val="20"/>
        </w:rPr>
        <w:t xml:space="preserve">% of global supply) to </w:t>
      </w:r>
      <w:r w:rsidRPr="004708C3">
        <w:rPr>
          <w:rFonts w:ascii="Arial" w:eastAsiaTheme="majorEastAsia" w:hAnsi="Arial" w:cs="Arial"/>
          <w:b/>
          <w:bCs/>
          <w:color w:val="006666"/>
          <w:sz w:val="20"/>
          <w:szCs w:val="20"/>
        </w:rPr>
        <w:t>send oil prices up again</w:t>
      </w:r>
      <w:r w:rsidRPr="004708C3">
        <w:rPr>
          <w:rFonts w:ascii="Arial" w:eastAsiaTheme="majorEastAsia" w:hAnsi="Arial" w:cs="Arial"/>
          <w:color w:val="006666"/>
          <w:sz w:val="20"/>
          <w:szCs w:val="20"/>
        </w:rPr>
        <w:t xml:space="preserve">. Although the outcome of this decision is far from certain, </w:t>
      </w:r>
      <w:r w:rsidR="00A54E66" w:rsidRPr="004708C3">
        <w:rPr>
          <w:rFonts w:ascii="Arial" w:eastAsiaTheme="majorEastAsia" w:hAnsi="Arial" w:cs="Arial"/>
          <w:color w:val="006666"/>
          <w:sz w:val="20"/>
          <w:szCs w:val="20"/>
        </w:rPr>
        <w:t xml:space="preserve">low storage levels of both oil and gas may </w:t>
      </w:r>
      <w:r w:rsidR="00A54E66" w:rsidRPr="004708C3">
        <w:rPr>
          <w:rFonts w:ascii="Arial" w:eastAsiaTheme="majorEastAsia" w:hAnsi="Arial" w:cs="Arial"/>
          <w:b/>
          <w:bCs/>
          <w:color w:val="006666"/>
          <w:sz w:val="20"/>
          <w:szCs w:val="20"/>
        </w:rPr>
        <w:t>keep energy prices high at least throughout 2023</w:t>
      </w:r>
      <w:r w:rsidR="00A54E66" w:rsidRPr="004708C3">
        <w:rPr>
          <w:rFonts w:ascii="Arial" w:eastAsiaTheme="majorEastAsia" w:hAnsi="Arial" w:cs="Arial"/>
          <w:color w:val="006666"/>
          <w:sz w:val="20"/>
          <w:szCs w:val="20"/>
        </w:rPr>
        <w:t>.</w:t>
      </w:r>
    </w:p>
    <w:p w14:paraId="22CEDBA4" w14:textId="35AB441F" w:rsidR="00A54E66" w:rsidRDefault="00A54E66" w:rsidP="00A54E66">
      <w:pPr>
        <w:pStyle w:val="ListParagraph"/>
        <w:numPr>
          <w:ilvl w:val="0"/>
          <w:numId w:val="7"/>
        </w:numPr>
        <w:spacing w:line="259" w:lineRule="auto"/>
        <w:jc w:val="both"/>
        <w:rPr>
          <w:rFonts w:ascii="Arial" w:eastAsiaTheme="majorEastAsia" w:hAnsi="Arial" w:cs="Arial"/>
          <w:color w:val="006666"/>
          <w:sz w:val="20"/>
          <w:szCs w:val="20"/>
        </w:rPr>
      </w:pPr>
      <w:r w:rsidRPr="004708C3">
        <w:rPr>
          <w:rFonts w:ascii="Arial" w:eastAsiaTheme="majorEastAsia" w:hAnsi="Arial" w:cs="Arial"/>
          <w:color w:val="006666"/>
          <w:sz w:val="20"/>
          <w:szCs w:val="20"/>
        </w:rPr>
        <w:t xml:space="preserve">Continued </w:t>
      </w:r>
      <w:r w:rsidR="006645A7" w:rsidRPr="004708C3">
        <w:rPr>
          <w:rFonts w:ascii="Arial" w:eastAsiaTheme="majorEastAsia" w:hAnsi="Arial" w:cs="Arial"/>
          <w:color w:val="006666"/>
          <w:sz w:val="20"/>
          <w:szCs w:val="20"/>
        </w:rPr>
        <w:t>inflation</w:t>
      </w:r>
      <w:r w:rsidRPr="004708C3">
        <w:rPr>
          <w:rFonts w:ascii="Arial" w:eastAsiaTheme="majorEastAsia" w:hAnsi="Arial" w:cs="Arial"/>
          <w:color w:val="006666"/>
          <w:sz w:val="20"/>
          <w:szCs w:val="20"/>
        </w:rPr>
        <w:t>, even if core inflation is cooling and only energy prices remain high</w:t>
      </w:r>
      <w:r w:rsidR="006645A7" w:rsidRPr="004708C3">
        <w:rPr>
          <w:rFonts w:ascii="Arial" w:eastAsiaTheme="majorEastAsia" w:hAnsi="Arial" w:cs="Arial"/>
          <w:color w:val="006666"/>
          <w:sz w:val="20"/>
          <w:szCs w:val="20"/>
        </w:rPr>
        <w:t xml:space="preserve"> in the coming months</w:t>
      </w:r>
      <w:r w:rsidRPr="004708C3">
        <w:rPr>
          <w:rFonts w:ascii="Arial" w:eastAsiaTheme="majorEastAsia" w:hAnsi="Arial" w:cs="Arial"/>
          <w:color w:val="006666"/>
          <w:sz w:val="20"/>
          <w:szCs w:val="20"/>
        </w:rPr>
        <w:t>,</w:t>
      </w:r>
      <w:r w:rsidR="006645A7" w:rsidRPr="004708C3">
        <w:rPr>
          <w:rFonts w:ascii="Arial" w:eastAsiaTheme="majorEastAsia" w:hAnsi="Arial" w:cs="Arial"/>
          <w:color w:val="006666"/>
          <w:sz w:val="20"/>
          <w:szCs w:val="20"/>
        </w:rPr>
        <w:t xml:space="preserve"> will </w:t>
      </w:r>
      <w:r w:rsidR="006645A7" w:rsidRPr="004708C3">
        <w:rPr>
          <w:rFonts w:ascii="Arial" w:eastAsiaTheme="majorEastAsia" w:hAnsi="Arial" w:cs="Arial"/>
          <w:b/>
          <w:bCs/>
          <w:color w:val="006666"/>
          <w:sz w:val="20"/>
          <w:szCs w:val="20"/>
        </w:rPr>
        <w:t>weigh heavily on public and private finances</w:t>
      </w:r>
      <w:r w:rsidR="006645A7" w:rsidRPr="004708C3">
        <w:rPr>
          <w:rFonts w:ascii="Arial" w:eastAsiaTheme="majorEastAsia" w:hAnsi="Arial" w:cs="Arial"/>
          <w:color w:val="006666"/>
          <w:sz w:val="20"/>
          <w:szCs w:val="20"/>
        </w:rPr>
        <w:t xml:space="preserve">, hitting the </w:t>
      </w:r>
      <w:r w:rsidR="006645A7" w:rsidRPr="004708C3">
        <w:rPr>
          <w:rFonts w:ascii="Arial" w:eastAsiaTheme="majorEastAsia" w:hAnsi="Arial" w:cs="Arial"/>
          <w:b/>
          <w:bCs/>
          <w:color w:val="006666"/>
          <w:sz w:val="20"/>
          <w:szCs w:val="20"/>
        </w:rPr>
        <w:t>most vulnerable households the hardest</w:t>
      </w:r>
      <w:r w:rsidR="006645A7" w:rsidRPr="004708C3">
        <w:rPr>
          <w:rFonts w:ascii="Arial" w:eastAsiaTheme="majorEastAsia" w:hAnsi="Arial" w:cs="Arial"/>
          <w:color w:val="006666"/>
          <w:sz w:val="20"/>
          <w:szCs w:val="20"/>
        </w:rPr>
        <w:t xml:space="preserve">, and calling for Government support for the poorest. </w:t>
      </w:r>
    </w:p>
    <w:p w14:paraId="0661240B" w14:textId="77777777" w:rsidR="00137465" w:rsidRPr="004708C3" w:rsidRDefault="00137465" w:rsidP="00137465">
      <w:pPr>
        <w:pStyle w:val="ListParagraph"/>
        <w:spacing w:line="259" w:lineRule="auto"/>
        <w:jc w:val="both"/>
        <w:rPr>
          <w:rFonts w:ascii="Arial" w:eastAsiaTheme="majorEastAsia" w:hAnsi="Arial" w:cs="Arial"/>
          <w:color w:val="006666"/>
          <w:sz w:val="20"/>
          <w:szCs w:val="20"/>
        </w:rPr>
      </w:pPr>
    </w:p>
    <w:p w14:paraId="7FEDBA41" w14:textId="3045DB73" w:rsidR="00D2048C" w:rsidRPr="0086564D" w:rsidRDefault="003E67C3" w:rsidP="0055590B">
      <w:pPr>
        <w:rPr>
          <w:rFonts w:ascii="Arial" w:eastAsiaTheme="majorEastAsia" w:hAnsi="Arial" w:cs="Arial"/>
          <w:i/>
          <w:iCs/>
          <w:color w:val="006666"/>
          <w:sz w:val="18"/>
          <w:szCs w:val="18"/>
        </w:rPr>
      </w:pPr>
      <w:r w:rsidRPr="0086564D">
        <w:rPr>
          <w:rFonts w:ascii="Arial" w:eastAsiaTheme="majorEastAsia" w:hAnsi="Arial" w:cs="Arial"/>
          <w:i/>
          <w:iCs/>
          <w:color w:val="006666"/>
          <w:sz w:val="18"/>
          <w:szCs w:val="18"/>
        </w:rPr>
        <w:t xml:space="preserve">Source: </w:t>
      </w:r>
      <w:r w:rsidR="00C208A9" w:rsidRPr="0086564D">
        <w:rPr>
          <w:rFonts w:ascii="Arial" w:eastAsiaTheme="majorEastAsia" w:hAnsi="Arial" w:cs="Arial"/>
          <w:i/>
          <w:iCs/>
          <w:color w:val="006666"/>
          <w:sz w:val="18"/>
          <w:szCs w:val="18"/>
        </w:rPr>
        <w:t xml:space="preserve">INSEE, </w:t>
      </w:r>
      <w:hyperlink r:id="rId22" w:history="1">
        <w:r w:rsidR="00C208A9" w:rsidRPr="00DC7FF7">
          <w:rPr>
            <w:rStyle w:val="Hyperlink"/>
            <w:rFonts w:ascii="Arial" w:eastAsiaTheme="majorEastAsia" w:hAnsi="Arial" w:cs="Arial"/>
            <w:i/>
            <w:iCs/>
            <w:sz w:val="18"/>
            <w:szCs w:val="18"/>
          </w:rPr>
          <w:t>International Prices of Raw Materials</w:t>
        </w:r>
      </w:hyperlink>
      <w:r w:rsidR="00C208A9" w:rsidRPr="0086564D">
        <w:rPr>
          <w:rFonts w:ascii="Arial" w:eastAsiaTheme="majorEastAsia" w:hAnsi="Arial" w:cs="Arial"/>
          <w:i/>
          <w:iCs/>
          <w:color w:val="006666"/>
          <w:sz w:val="18"/>
          <w:szCs w:val="18"/>
        </w:rPr>
        <w:t xml:space="preserve">, October 2022 and </w:t>
      </w:r>
      <w:r w:rsidR="006645A7" w:rsidRPr="0086564D">
        <w:rPr>
          <w:rFonts w:ascii="Arial" w:eastAsiaTheme="majorEastAsia" w:hAnsi="Arial" w:cs="Arial"/>
          <w:i/>
          <w:iCs/>
          <w:color w:val="006666"/>
          <w:sz w:val="18"/>
          <w:szCs w:val="18"/>
        </w:rPr>
        <w:t>World Bank,</w:t>
      </w:r>
      <w:r w:rsidR="006645A7" w:rsidRPr="0086564D">
        <w:rPr>
          <w:i/>
          <w:iCs/>
          <w:sz w:val="20"/>
          <w:szCs w:val="20"/>
        </w:rPr>
        <w:t xml:space="preserve"> </w:t>
      </w:r>
      <w:hyperlink r:id="rId23" w:history="1">
        <w:r w:rsidR="006645A7" w:rsidRPr="0086564D">
          <w:rPr>
            <w:rStyle w:val="Hyperlink"/>
            <w:rFonts w:ascii="Arial" w:eastAsiaTheme="majorEastAsia" w:hAnsi="Arial" w:cs="Arial"/>
            <w:i/>
            <w:iCs/>
            <w:sz w:val="18"/>
            <w:szCs w:val="18"/>
          </w:rPr>
          <w:t xml:space="preserve">Commodity </w:t>
        </w:r>
        <w:r w:rsidR="00AC7B63" w:rsidRPr="0086564D">
          <w:rPr>
            <w:rStyle w:val="Hyperlink"/>
            <w:rFonts w:ascii="Arial" w:eastAsiaTheme="majorEastAsia" w:hAnsi="Arial" w:cs="Arial"/>
            <w:i/>
            <w:iCs/>
            <w:sz w:val="18"/>
            <w:szCs w:val="18"/>
          </w:rPr>
          <w:t>markets (pink sheet)</w:t>
        </w:r>
      </w:hyperlink>
      <w:r w:rsidR="00DC4B2A" w:rsidRPr="0086564D">
        <w:rPr>
          <w:i/>
          <w:iCs/>
        </w:rPr>
        <w:t xml:space="preserve">, </w:t>
      </w:r>
      <w:r w:rsidR="006645A7" w:rsidRPr="0086564D">
        <w:rPr>
          <w:rFonts w:ascii="Arial" w:eastAsiaTheme="majorEastAsia" w:hAnsi="Arial" w:cs="Arial"/>
          <w:i/>
          <w:iCs/>
          <w:color w:val="006666"/>
          <w:sz w:val="18"/>
          <w:szCs w:val="18"/>
        </w:rPr>
        <w:t>October 2022</w:t>
      </w:r>
    </w:p>
    <w:p w14:paraId="661D7860" w14:textId="77777777" w:rsidR="008425C5" w:rsidRDefault="00855386" w:rsidP="00D54907">
      <w:pPr>
        <w:pStyle w:val="Subtitle1"/>
        <w:jc w:val="center"/>
        <w:rPr>
          <w:color w:val="006666"/>
          <w:sz w:val="32"/>
          <w:szCs w:val="48"/>
          <w:lang w:eastAsia="zh-CN"/>
        </w:rPr>
      </w:pPr>
      <w:r>
        <w:rPr>
          <w:color w:val="006666"/>
          <w:sz w:val="32"/>
          <w:szCs w:val="48"/>
          <w:lang w:eastAsia="zh-CN"/>
        </w:rPr>
        <w:lastRenderedPageBreak/>
        <w:t>Glance #2:</w:t>
      </w:r>
      <w:r w:rsidR="00AC23CB">
        <w:rPr>
          <w:color w:val="006666"/>
          <w:sz w:val="32"/>
          <w:szCs w:val="48"/>
          <w:lang w:eastAsia="zh-CN"/>
        </w:rPr>
        <w:t xml:space="preserve"> A strong US dollar affects public finances, </w:t>
      </w:r>
      <w:r w:rsidR="00DC4B2A">
        <w:rPr>
          <w:color w:val="006666"/>
          <w:sz w:val="32"/>
          <w:szCs w:val="48"/>
          <w:lang w:eastAsia="zh-CN"/>
        </w:rPr>
        <w:t>investment,</w:t>
      </w:r>
      <w:r w:rsidR="00AC23CB">
        <w:rPr>
          <w:color w:val="006666"/>
          <w:sz w:val="32"/>
          <w:szCs w:val="48"/>
          <w:lang w:eastAsia="zh-CN"/>
        </w:rPr>
        <w:t xml:space="preserve"> and imports</w:t>
      </w:r>
    </w:p>
    <w:p w14:paraId="566B69CF" w14:textId="7681A17F" w:rsidR="003E67C3" w:rsidRPr="00C03DC1" w:rsidRDefault="00855386" w:rsidP="00D54907">
      <w:pPr>
        <w:pStyle w:val="Subtitle1"/>
        <w:jc w:val="center"/>
        <w:rPr>
          <w:color w:val="006666"/>
          <w:sz w:val="32"/>
          <w:szCs w:val="48"/>
          <w:lang w:eastAsia="zh-CN"/>
        </w:rPr>
      </w:pPr>
      <w:r>
        <w:rPr>
          <w:color w:val="006666"/>
          <w:sz w:val="32"/>
          <w:szCs w:val="48"/>
          <w:lang w:eastAsia="zh-CN"/>
        </w:rPr>
        <w:t xml:space="preserve"> </w:t>
      </w:r>
    </w:p>
    <w:p w14:paraId="282DD9C5" w14:textId="2258B63B" w:rsidR="00EE7D24" w:rsidRDefault="00011C49" w:rsidP="004708C3">
      <w:pPr>
        <w:tabs>
          <w:tab w:val="num" w:pos="720"/>
        </w:tabs>
        <w:jc w:val="center"/>
        <w:rPr>
          <w:rFonts w:asciiTheme="minorBidi" w:eastAsia="DengXian Light" w:hAnsiTheme="minorBidi"/>
          <w:b/>
          <w:bCs/>
          <w:color w:val="215868" w:themeColor="accent5" w:themeShade="80"/>
          <w:lang w:val="pt-PT" w:eastAsia="zh-CN"/>
        </w:rPr>
      </w:pPr>
      <w:r>
        <w:rPr>
          <w:noProof/>
        </w:rPr>
        <w:drawing>
          <wp:inline distT="0" distB="0" distL="0" distR="0" wp14:anchorId="3E61E801" wp14:editId="6EBACC07">
            <wp:extent cx="4140000" cy="3600000"/>
            <wp:effectExtent l="0" t="0" r="13335"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53F79" w:rsidRPr="00F13FBC">
        <w:rPr>
          <w:noProof/>
        </w:rPr>
        <mc:AlternateContent>
          <mc:Choice Requires="wps">
            <w:drawing>
              <wp:anchor distT="45720" distB="45720" distL="182880" distR="182880" simplePos="0" relativeHeight="251680768" behindDoc="0" locked="0" layoutInCell="1" allowOverlap="0" wp14:anchorId="6FA8D754" wp14:editId="1CDBBB5B">
                <wp:simplePos x="0" y="0"/>
                <wp:positionH relativeFrom="page">
                  <wp:align>right</wp:align>
                </wp:positionH>
                <wp:positionV relativeFrom="page">
                  <wp:align>top</wp:align>
                </wp:positionV>
                <wp:extent cx="10683240" cy="739775"/>
                <wp:effectExtent l="0" t="0" r="3810" b="31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3240" cy="739775"/>
                        </a:xfrm>
                        <a:prstGeom prst="rect">
                          <a:avLst/>
                        </a:prstGeom>
                        <a:solidFill>
                          <a:srgbClr val="006666"/>
                        </a:solidFill>
                        <a:ln w="76200" cmpd="dbl">
                          <a:noFill/>
                          <a:miter lim="800000"/>
                          <a:headEnd/>
                          <a:tailEnd/>
                        </a:ln>
                      </wps:spPr>
                      <wps:txbx>
                        <w:txbxContent>
                          <w:p w14:paraId="58F0B4FF" w14:textId="77777777" w:rsidR="00553F79" w:rsidRPr="009D71EF" w:rsidRDefault="00553F79" w:rsidP="00553F79">
                            <w:pPr>
                              <w:jc w:val="center"/>
                              <w:rPr>
                                <w:i/>
                                <w:iCs/>
                                <w:caps/>
                                <w:color w:val="FFFFFF" w:themeColor="background1"/>
                                <w:sz w:val="40"/>
                                <w:szCs w:val="36"/>
                              </w:rPr>
                            </w:pPr>
                            <w:r w:rsidRPr="009D71EF">
                              <w:rPr>
                                <w:i/>
                                <w:iCs/>
                                <w:caps/>
                                <w:color w:val="FFFFFF" w:themeColor="background1"/>
                                <w:sz w:val="40"/>
                                <w:szCs w:val="40"/>
                              </w:rPr>
                              <w:t>4 GLANCES AT…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xmlns:oel="http://schemas.microsoft.com/office/2019/extlst">
            <w:pict>
              <v:rect w14:anchorId="6FA8D754" id="_x0000_s1031" style="position:absolute;left:0;text-align:left;margin-left:790pt;margin-top:0;width:841.2pt;height:58.25pt;z-index:251680768;visibility:visible;mso-wrap-style:square;mso-width-percent:0;mso-height-percent:200;mso-wrap-distance-left:14.4pt;mso-wrap-distance-top:3.6pt;mso-wrap-distance-right:14.4pt;mso-wrap-distance-bottom:3.6pt;mso-position-horizontal:right;mso-position-horizontal-relative:page;mso-position-vertical:top;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" o:allowoverlap="f" fillcolor="#066" stroked="f" strokeweight="6pt">
                <v:stroke linestyle="thinThin"/>
                <v:textbox style="mso-fit-shape-to-text:t" inset="14.4pt,14.4pt,14.4pt,14.4pt">
                  <w:txbxContent>
                    <w:p w14:paraId="58F0B4FF" w14:textId="77777777" w:rsidR="00553F79" w:rsidRPr="009D71EF" w:rsidRDefault="00553F79" w:rsidP="00553F79">
                      <w:pPr>
                        <w:jc w:val="center"/>
                        <w:rPr>
                          <w:i/>
                          <w:iCs/>
                          <w:caps/>
                          <w:color w:val="FFFFFF" w:themeColor="background1"/>
                          <w:sz w:val="40"/>
                          <w:szCs w:val="36"/>
                        </w:rPr>
                      </w:pPr>
                      <w:r w:rsidRPr="009D71EF">
                        <w:rPr>
                          <w:i/>
                          <w:iCs/>
                          <w:caps/>
                          <w:color w:val="FFFFFF" w:themeColor="background1"/>
                          <w:sz w:val="40"/>
                          <w:szCs w:val="40"/>
                        </w:rPr>
                        <w:t>4 GLANCES AT…</w:t>
                      </w:r>
                    </w:p>
                  </w:txbxContent>
                </v:textbox>
                <w10:wrap type="square" anchorx="page" anchory="page"/>
              </v:rect>
            </w:pict>
          </mc:Fallback>
        </mc:AlternateContent>
      </w:r>
      <w:r w:rsidR="002E3155">
        <w:rPr>
          <w:rFonts w:asciiTheme="minorBidi" w:eastAsia="DengXian Light" w:hAnsiTheme="minorBidi"/>
          <w:b/>
          <w:bCs/>
          <w:noProof/>
          <w:color w:val="215868" w:themeColor="accent5" w:themeShade="80"/>
          <w:lang w:val="pt-PT" w:eastAsia="zh-CN"/>
        </w:rPr>
        <w:drawing>
          <wp:inline distT="0" distB="0" distL="0" distR="0" wp14:anchorId="3BF932A1" wp14:editId="09D9D620">
            <wp:extent cx="4140000" cy="3600000"/>
            <wp:effectExtent l="0" t="0" r="13335" b="6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53C29C" w14:textId="77777777" w:rsidR="00A54E66" w:rsidRPr="00A54E66" w:rsidRDefault="00A54E66" w:rsidP="00EE7D24">
      <w:pPr>
        <w:tabs>
          <w:tab w:val="num" w:pos="720"/>
        </w:tabs>
        <w:jc w:val="both"/>
        <w:rPr>
          <w:rFonts w:asciiTheme="minorBidi" w:eastAsia="DengXian Light" w:hAnsiTheme="minorBidi"/>
          <w:b/>
          <w:bCs/>
          <w:color w:val="215868" w:themeColor="accent5" w:themeShade="80"/>
          <w:sz w:val="16"/>
          <w:szCs w:val="16"/>
          <w:lang w:val="pt-PT" w:eastAsia="zh-CN"/>
        </w:rPr>
      </w:pPr>
    </w:p>
    <w:p w14:paraId="556CA658" w14:textId="349F981D" w:rsidR="008425C5" w:rsidRPr="00A54E66" w:rsidRDefault="00890B6C" w:rsidP="00A54E66">
      <w:pPr>
        <w:pStyle w:val="ListParagraph"/>
        <w:numPr>
          <w:ilvl w:val="0"/>
          <w:numId w:val="6"/>
        </w:numPr>
        <w:spacing w:line="259" w:lineRule="auto"/>
        <w:jc w:val="both"/>
        <w:rPr>
          <w:rFonts w:ascii="Arial" w:eastAsiaTheme="majorEastAsia" w:hAnsi="Arial" w:cs="Arial"/>
          <w:color w:val="006666"/>
          <w:sz w:val="20"/>
          <w:szCs w:val="20"/>
        </w:rPr>
      </w:pPr>
      <w:r w:rsidRPr="00A54E66">
        <w:rPr>
          <w:rFonts w:ascii="Arial" w:eastAsiaTheme="majorEastAsia" w:hAnsi="Arial" w:cs="Arial"/>
          <w:color w:val="006666"/>
          <w:sz w:val="20"/>
          <w:szCs w:val="20"/>
        </w:rPr>
        <w:t>I</w:t>
      </w:r>
      <w:r w:rsidR="00DC4B2A" w:rsidRPr="00A54E66">
        <w:rPr>
          <w:rFonts w:ascii="Arial" w:eastAsiaTheme="majorEastAsia" w:hAnsi="Arial" w:cs="Arial"/>
          <w:color w:val="006666"/>
          <w:sz w:val="20"/>
          <w:szCs w:val="20"/>
        </w:rPr>
        <w:t>n</w:t>
      </w:r>
      <w:r w:rsidRPr="00A54E66">
        <w:rPr>
          <w:rFonts w:ascii="Arial" w:eastAsiaTheme="majorEastAsia" w:hAnsi="Arial" w:cs="Arial"/>
          <w:color w:val="006666"/>
          <w:sz w:val="20"/>
          <w:szCs w:val="20"/>
        </w:rPr>
        <w:t xml:space="preserve"> times of crises, the Dollar is always seen by investors as </w:t>
      </w:r>
      <w:r w:rsidR="00DC4B2A" w:rsidRPr="00A54E66">
        <w:rPr>
          <w:rFonts w:ascii="Arial" w:eastAsiaTheme="majorEastAsia" w:hAnsi="Arial" w:cs="Arial"/>
          <w:color w:val="006666"/>
          <w:sz w:val="20"/>
          <w:szCs w:val="20"/>
        </w:rPr>
        <w:t>a haven</w:t>
      </w:r>
      <w:r w:rsidRPr="00A54E66">
        <w:rPr>
          <w:rFonts w:ascii="Arial" w:eastAsiaTheme="majorEastAsia" w:hAnsi="Arial" w:cs="Arial"/>
          <w:color w:val="006666"/>
          <w:sz w:val="20"/>
          <w:szCs w:val="20"/>
        </w:rPr>
        <w:t xml:space="preserve">, and with </w:t>
      </w:r>
      <w:r w:rsidR="008425C5" w:rsidRPr="00A54E66">
        <w:rPr>
          <w:rFonts w:ascii="Arial" w:eastAsiaTheme="majorEastAsia" w:hAnsi="Arial" w:cs="Arial"/>
          <w:color w:val="006666"/>
          <w:sz w:val="20"/>
          <w:szCs w:val="20"/>
        </w:rPr>
        <w:t xml:space="preserve">US Federal Reserve’s interest rates </w:t>
      </w:r>
      <w:r w:rsidRPr="00A54E66">
        <w:rPr>
          <w:rFonts w:ascii="Arial" w:eastAsiaTheme="majorEastAsia" w:hAnsi="Arial" w:cs="Arial"/>
          <w:color w:val="006666"/>
          <w:sz w:val="20"/>
          <w:szCs w:val="20"/>
        </w:rPr>
        <w:t xml:space="preserve">rising, the return </w:t>
      </w:r>
      <w:r w:rsidR="00DC4B2A" w:rsidRPr="00A54E66">
        <w:rPr>
          <w:rFonts w:ascii="Arial" w:eastAsiaTheme="majorEastAsia" w:hAnsi="Arial" w:cs="Arial"/>
          <w:color w:val="006666"/>
          <w:sz w:val="20"/>
          <w:szCs w:val="20"/>
        </w:rPr>
        <w:t>on investment is bigger.</w:t>
      </w:r>
      <w:r w:rsidR="00AA1993" w:rsidRPr="00A54E66">
        <w:rPr>
          <w:rFonts w:ascii="Arial" w:eastAsiaTheme="majorEastAsia" w:hAnsi="Arial" w:cs="Arial"/>
          <w:color w:val="006666"/>
          <w:sz w:val="20"/>
          <w:szCs w:val="20"/>
        </w:rPr>
        <w:t xml:space="preserve"> These concomitant factors strengthened the US Dollar, which reached its highest level ever in front of several currencies</w:t>
      </w:r>
      <w:r w:rsidR="008425C5" w:rsidRPr="00A54E66">
        <w:rPr>
          <w:rFonts w:ascii="Arial" w:eastAsiaTheme="majorEastAsia" w:hAnsi="Arial" w:cs="Arial"/>
          <w:color w:val="006666"/>
          <w:sz w:val="20"/>
          <w:szCs w:val="20"/>
        </w:rPr>
        <w:t xml:space="preserve">. </w:t>
      </w:r>
    </w:p>
    <w:p w14:paraId="4495480C" w14:textId="32961A7D" w:rsidR="008425C5" w:rsidRPr="00A54E66" w:rsidRDefault="008425C5" w:rsidP="00A54E66">
      <w:pPr>
        <w:pStyle w:val="ListParagraph"/>
        <w:numPr>
          <w:ilvl w:val="0"/>
          <w:numId w:val="6"/>
        </w:numPr>
        <w:spacing w:line="259" w:lineRule="auto"/>
        <w:jc w:val="both"/>
        <w:rPr>
          <w:rFonts w:ascii="Arial" w:eastAsiaTheme="majorEastAsia" w:hAnsi="Arial" w:cs="Arial"/>
          <w:color w:val="006666"/>
          <w:sz w:val="20"/>
          <w:szCs w:val="20"/>
        </w:rPr>
      </w:pPr>
      <w:r w:rsidRPr="00A54E66">
        <w:rPr>
          <w:rFonts w:ascii="Arial" w:eastAsiaTheme="majorEastAsia" w:hAnsi="Arial" w:cs="Arial"/>
          <w:b/>
          <w:bCs/>
          <w:color w:val="006666"/>
          <w:sz w:val="20"/>
          <w:szCs w:val="20"/>
        </w:rPr>
        <w:t>Strategic imports, especially fuel</w:t>
      </w:r>
      <w:r w:rsidRPr="00A54E66">
        <w:rPr>
          <w:rFonts w:ascii="Arial" w:eastAsiaTheme="majorEastAsia" w:hAnsi="Arial" w:cs="Arial"/>
          <w:color w:val="006666"/>
          <w:sz w:val="20"/>
          <w:szCs w:val="20"/>
        </w:rPr>
        <w:t xml:space="preserve">, are mostly paid in dollars and will be more expensive due to higher exchange rates. </w:t>
      </w:r>
      <w:r w:rsidR="000D7AE2">
        <w:rPr>
          <w:rFonts w:ascii="Arial" w:eastAsiaTheme="majorEastAsia" w:hAnsi="Arial" w:cs="Arial"/>
          <w:color w:val="006666"/>
          <w:sz w:val="20"/>
          <w:szCs w:val="20"/>
        </w:rPr>
        <w:t>Financial services, and especially the attractiveness of Mauritian financing instruments, will also be affected</w:t>
      </w:r>
      <w:r w:rsidRPr="00A54E66">
        <w:rPr>
          <w:rFonts w:ascii="Arial" w:eastAsiaTheme="majorEastAsia" w:hAnsi="Arial" w:cs="Arial"/>
          <w:color w:val="006666"/>
          <w:sz w:val="20"/>
          <w:szCs w:val="20"/>
        </w:rPr>
        <w:t xml:space="preserve">. </w:t>
      </w:r>
    </w:p>
    <w:p w14:paraId="51AF1FDC" w14:textId="061CE8F2" w:rsidR="008425C5" w:rsidRPr="00A54E66" w:rsidRDefault="00DC4B2A" w:rsidP="00A54E66">
      <w:pPr>
        <w:pStyle w:val="ListParagraph"/>
        <w:numPr>
          <w:ilvl w:val="0"/>
          <w:numId w:val="6"/>
        </w:numPr>
        <w:spacing w:line="259" w:lineRule="auto"/>
        <w:jc w:val="both"/>
        <w:rPr>
          <w:rFonts w:ascii="Arial" w:eastAsiaTheme="majorEastAsia" w:hAnsi="Arial" w:cs="Arial"/>
          <w:color w:val="006666"/>
          <w:sz w:val="20"/>
          <w:szCs w:val="20"/>
        </w:rPr>
      </w:pPr>
      <w:r w:rsidRPr="00A54E66">
        <w:rPr>
          <w:rFonts w:ascii="Arial" w:eastAsiaTheme="majorEastAsia" w:hAnsi="Arial" w:cs="Arial"/>
          <w:color w:val="006666"/>
          <w:sz w:val="20"/>
          <w:szCs w:val="20"/>
        </w:rPr>
        <w:t xml:space="preserve">This </w:t>
      </w:r>
      <w:r w:rsidR="008425C5" w:rsidRPr="00A54E66">
        <w:rPr>
          <w:rFonts w:ascii="Arial" w:eastAsiaTheme="majorEastAsia" w:hAnsi="Arial" w:cs="Arial"/>
          <w:color w:val="006666"/>
          <w:sz w:val="20"/>
          <w:szCs w:val="20"/>
        </w:rPr>
        <w:t xml:space="preserve">also </w:t>
      </w:r>
      <w:r w:rsidRPr="00A54E66">
        <w:rPr>
          <w:rFonts w:ascii="Arial" w:eastAsiaTheme="majorEastAsia" w:hAnsi="Arial" w:cs="Arial"/>
          <w:color w:val="006666"/>
          <w:sz w:val="20"/>
          <w:szCs w:val="20"/>
        </w:rPr>
        <w:t xml:space="preserve">makes </w:t>
      </w:r>
      <w:r w:rsidR="00D5204C" w:rsidRPr="00A54E66">
        <w:rPr>
          <w:rFonts w:ascii="Arial" w:eastAsiaTheme="majorEastAsia" w:hAnsi="Arial" w:cs="Arial"/>
          <w:b/>
          <w:bCs/>
          <w:color w:val="006666"/>
          <w:sz w:val="20"/>
          <w:szCs w:val="20"/>
        </w:rPr>
        <w:t>servicing debt contracted in US dollars more expensive</w:t>
      </w:r>
      <w:r w:rsidR="00D5204C" w:rsidRPr="00A54E66">
        <w:rPr>
          <w:rFonts w:ascii="Arial" w:eastAsiaTheme="majorEastAsia" w:hAnsi="Arial" w:cs="Arial"/>
          <w:color w:val="006666"/>
          <w:sz w:val="20"/>
          <w:szCs w:val="20"/>
        </w:rPr>
        <w:t>,</w:t>
      </w:r>
      <w:r w:rsidR="00AA1993" w:rsidRPr="00A54E66">
        <w:rPr>
          <w:rFonts w:ascii="Arial" w:eastAsiaTheme="majorEastAsia" w:hAnsi="Arial" w:cs="Arial"/>
          <w:color w:val="006666"/>
          <w:sz w:val="20"/>
          <w:szCs w:val="20"/>
        </w:rPr>
        <w:t xml:space="preserve"> weighing heavier on public finances. In Mauritius, a limited share of Government debt is serviced in US Dollar, yet 100% of public enterprises guaranteed debt is in this currency, for a total significant amount of 31 billion rupees, making it the main currenc</w:t>
      </w:r>
      <w:r w:rsidR="00F84240">
        <w:rPr>
          <w:rFonts w:ascii="Arial" w:eastAsiaTheme="majorEastAsia" w:hAnsi="Arial" w:cs="Arial"/>
          <w:color w:val="006666"/>
          <w:sz w:val="20"/>
          <w:szCs w:val="20"/>
        </w:rPr>
        <w:t>y</w:t>
      </w:r>
      <w:r w:rsidR="00AA1993" w:rsidRPr="00A54E66">
        <w:rPr>
          <w:rFonts w:ascii="Arial" w:eastAsiaTheme="majorEastAsia" w:hAnsi="Arial" w:cs="Arial"/>
          <w:color w:val="006666"/>
          <w:sz w:val="20"/>
          <w:szCs w:val="20"/>
        </w:rPr>
        <w:t xml:space="preserve"> for servicing debt, </w:t>
      </w:r>
      <w:r w:rsidR="00F84240">
        <w:rPr>
          <w:rFonts w:ascii="Arial" w:eastAsiaTheme="majorEastAsia" w:hAnsi="Arial" w:cs="Arial"/>
          <w:color w:val="006666"/>
          <w:sz w:val="20"/>
          <w:szCs w:val="20"/>
        </w:rPr>
        <w:t>together with</w:t>
      </w:r>
      <w:r w:rsidR="00AA1993" w:rsidRPr="00A54E66">
        <w:rPr>
          <w:rFonts w:ascii="Arial" w:eastAsiaTheme="majorEastAsia" w:hAnsi="Arial" w:cs="Arial"/>
          <w:color w:val="006666"/>
          <w:sz w:val="20"/>
          <w:szCs w:val="20"/>
        </w:rPr>
        <w:t xml:space="preserve"> Euro. </w:t>
      </w:r>
      <w:r w:rsidR="00AA1993" w:rsidRPr="00A54E66">
        <w:rPr>
          <w:rFonts w:ascii="Arial" w:eastAsiaTheme="majorEastAsia" w:hAnsi="Arial" w:cs="Arial"/>
          <w:b/>
          <w:bCs/>
          <w:color w:val="006666"/>
          <w:sz w:val="20"/>
          <w:szCs w:val="20"/>
        </w:rPr>
        <w:t>Mauritius public debt as a % of GDP was 86.4% in June 2022</w:t>
      </w:r>
      <w:r w:rsidR="00AA1993" w:rsidRPr="00A54E66">
        <w:rPr>
          <w:rFonts w:ascii="Arial" w:eastAsiaTheme="majorEastAsia" w:hAnsi="Arial" w:cs="Arial"/>
          <w:color w:val="006666"/>
          <w:sz w:val="20"/>
          <w:szCs w:val="20"/>
        </w:rPr>
        <w:t>.</w:t>
      </w:r>
      <w:r w:rsidR="00D5204C" w:rsidRPr="00A54E66">
        <w:rPr>
          <w:rFonts w:ascii="Arial" w:eastAsiaTheme="majorEastAsia" w:hAnsi="Arial" w:cs="Arial"/>
          <w:color w:val="006666"/>
          <w:sz w:val="20"/>
          <w:szCs w:val="20"/>
        </w:rPr>
        <w:t xml:space="preserve"> </w:t>
      </w:r>
    </w:p>
    <w:p w14:paraId="6E67114F" w14:textId="44E782CF" w:rsidR="00A54E66" w:rsidRDefault="008425C5" w:rsidP="00A54E66">
      <w:pPr>
        <w:pStyle w:val="ListParagraph"/>
        <w:numPr>
          <w:ilvl w:val="0"/>
          <w:numId w:val="6"/>
        </w:numPr>
        <w:spacing w:line="259" w:lineRule="auto"/>
        <w:jc w:val="both"/>
        <w:rPr>
          <w:rFonts w:ascii="Arial" w:eastAsiaTheme="majorEastAsia" w:hAnsi="Arial" w:cs="Arial"/>
          <w:color w:val="006666"/>
          <w:sz w:val="20"/>
          <w:szCs w:val="20"/>
        </w:rPr>
      </w:pPr>
      <w:r w:rsidRPr="00A54E66">
        <w:rPr>
          <w:rFonts w:ascii="Arial" w:eastAsiaTheme="majorEastAsia" w:hAnsi="Arial" w:cs="Arial"/>
          <w:color w:val="006666"/>
          <w:sz w:val="20"/>
          <w:szCs w:val="20"/>
        </w:rPr>
        <w:t xml:space="preserve">Though usually an upside of a weak rupee, </w:t>
      </w:r>
      <w:r w:rsidRPr="00A54E66">
        <w:rPr>
          <w:rFonts w:ascii="Arial" w:eastAsiaTheme="majorEastAsia" w:hAnsi="Arial" w:cs="Arial"/>
          <w:b/>
          <w:bCs/>
          <w:color w:val="006666"/>
          <w:sz w:val="20"/>
          <w:szCs w:val="20"/>
        </w:rPr>
        <w:t>competitivity gains may be limited</w:t>
      </w:r>
      <w:r w:rsidRPr="00A54E66">
        <w:rPr>
          <w:rFonts w:ascii="Arial" w:eastAsiaTheme="majorEastAsia" w:hAnsi="Arial" w:cs="Arial"/>
          <w:color w:val="006666"/>
          <w:sz w:val="20"/>
          <w:szCs w:val="20"/>
        </w:rPr>
        <w:t>, in a context of global demand slowdown and general currencies</w:t>
      </w:r>
      <w:r w:rsidR="000D7AE2">
        <w:rPr>
          <w:rFonts w:ascii="Arial" w:eastAsiaTheme="majorEastAsia" w:hAnsi="Arial" w:cs="Arial"/>
          <w:color w:val="006666"/>
          <w:sz w:val="20"/>
          <w:szCs w:val="20"/>
        </w:rPr>
        <w:t>’</w:t>
      </w:r>
      <w:r w:rsidRPr="00A54E66">
        <w:rPr>
          <w:rFonts w:ascii="Arial" w:eastAsiaTheme="majorEastAsia" w:hAnsi="Arial" w:cs="Arial"/>
          <w:color w:val="006666"/>
          <w:sz w:val="20"/>
          <w:szCs w:val="20"/>
        </w:rPr>
        <w:t xml:space="preserve"> weakness against the dollar.</w:t>
      </w:r>
    </w:p>
    <w:p w14:paraId="6B785DCB" w14:textId="77777777" w:rsidR="00A54E66" w:rsidRPr="00A54E66" w:rsidRDefault="00A54E66" w:rsidP="00A54E66">
      <w:pPr>
        <w:spacing w:line="259" w:lineRule="auto"/>
        <w:ind w:left="360"/>
        <w:jc w:val="both"/>
        <w:rPr>
          <w:rFonts w:ascii="Arial" w:eastAsiaTheme="majorEastAsia" w:hAnsi="Arial" w:cs="Arial"/>
          <w:color w:val="006666"/>
          <w:sz w:val="6"/>
          <w:szCs w:val="6"/>
        </w:rPr>
      </w:pPr>
    </w:p>
    <w:p w14:paraId="0011096B" w14:textId="46B9A4B2" w:rsidR="007A5B0F" w:rsidRPr="0086564D" w:rsidRDefault="002C0A06" w:rsidP="00F87464">
      <w:pPr>
        <w:spacing w:line="259" w:lineRule="auto"/>
        <w:jc w:val="both"/>
        <w:rPr>
          <w:rFonts w:asciiTheme="minorBidi" w:eastAsiaTheme="majorEastAsia" w:hAnsiTheme="minorBidi"/>
          <w:i/>
          <w:iCs/>
          <w:color w:val="006666"/>
          <w:sz w:val="18"/>
          <w:szCs w:val="18"/>
        </w:rPr>
      </w:pPr>
      <w:r w:rsidRPr="0086564D">
        <w:rPr>
          <w:rFonts w:asciiTheme="minorBidi" w:eastAsiaTheme="majorEastAsia" w:hAnsiTheme="minorBidi"/>
          <w:i/>
          <w:iCs/>
          <w:color w:val="006666"/>
          <w:sz w:val="18"/>
          <w:szCs w:val="18"/>
        </w:rPr>
        <w:t xml:space="preserve">Source: </w:t>
      </w:r>
      <w:r w:rsidR="004F6273" w:rsidRPr="0086564D">
        <w:rPr>
          <w:rFonts w:asciiTheme="minorBidi" w:eastAsiaTheme="majorEastAsia" w:hAnsiTheme="minorBidi"/>
          <w:i/>
          <w:iCs/>
          <w:color w:val="006666"/>
          <w:sz w:val="18"/>
          <w:szCs w:val="18"/>
        </w:rPr>
        <w:t>Bank of Mauritius</w:t>
      </w:r>
      <w:r w:rsidR="00163D4F" w:rsidRPr="0086564D">
        <w:rPr>
          <w:rFonts w:asciiTheme="minorBidi" w:eastAsiaTheme="majorEastAsia" w:hAnsiTheme="minorBidi"/>
          <w:i/>
          <w:iCs/>
          <w:color w:val="006666"/>
          <w:sz w:val="18"/>
          <w:szCs w:val="18"/>
        </w:rPr>
        <w:t xml:space="preserve">, </w:t>
      </w:r>
      <w:hyperlink r:id="rId26" w:history="1">
        <w:r w:rsidR="000C59EE" w:rsidRPr="0086564D">
          <w:rPr>
            <w:rStyle w:val="Hyperlink"/>
            <w:rFonts w:asciiTheme="minorBidi" w:eastAsiaTheme="majorEastAsia" w:hAnsiTheme="minorBidi"/>
            <w:i/>
            <w:iCs/>
            <w:sz w:val="18"/>
            <w:szCs w:val="18"/>
          </w:rPr>
          <w:t>Consolidated indicative exchange rates</w:t>
        </w:r>
      </w:hyperlink>
      <w:r w:rsidR="00B06501" w:rsidRPr="0086564D">
        <w:rPr>
          <w:rFonts w:asciiTheme="minorBidi" w:eastAsiaTheme="majorEastAsia" w:hAnsiTheme="minorBidi"/>
          <w:i/>
          <w:iCs/>
          <w:color w:val="006666"/>
          <w:sz w:val="18"/>
          <w:szCs w:val="18"/>
        </w:rPr>
        <w:t xml:space="preserve">, </w:t>
      </w:r>
      <w:r w:rsidR="008425C5" w:rsidRPr="0086564D">
        <w:rPr>
          <w:rFonts w:asciiTheme="minorBidi" w:eastAsiaTheme="majorEastAsia" w:hAnsiTheme="minorBidi"/>
          <w:i/>
          <w:iCs/>
          <w:color w:val="006666"/>
          <w:sz w:val="18"/>
          <w:szCs w:val="18"/>
        </w:rPr>
        <w:t xml:space="preserve">and author’s calculations based on </w:t>
      </w:r>
      <w:hyperlink r:id="rId27" w:history="1">
        <w:r w:rsidR="008425C5" w:rsidRPr="0086564D">
          <w:rPr>
            <w:rStyle w:val="Hyperlink"/>
            <w:rFonts w:asciiTheme="minorBidi" w:eastAsiaTheme="majorEastAsia" w:hAnsiTheme="minorBidi"/>
            <w:i/>
            <w:iCs/>
            <w:sz w:val="18"/>
            <w:szCs w:val="18"/>
          </w:rPr>
          <w:t>Currency composition of Governm</w:t>
        </w:r>
        <w:r w:rsidR="000D7AE2" w:rsidRPr="0086564D">
          <w:rPr>
            <w:rStyle w:val="Hyperlink"/>
            <w:rFonts w:asciiTheme="minorBidi" w:eastAsiaTheme="majorEastAsia" w:hAnsiTheme="minorBidi"/>
            <w:i/>
            <w:iCs/>
            <w:sz w:val="18"/>
            <w:szCs w:val="18"/>
          </w:rPr>
          <w:t>e</w:t>
        </w:r>
        <w:r w:rsidR="008425C5" w:rsidRPr="0086564D">
          <w:rPr>
            <w:rStyle w:val="Hyperlink"/>
            <w:rFonts w:asciiTheme="minorBidi" w:eastAsiaTheme="majorEastAsia" w:hAnsiTheme="minorBidi"/>
            <w:i/>
            <w:iCs/>
            <w:sz w:val="18"/>
            <w:szCs w:val="18"/>
          </w:rPr>
          <w:t>nt external debt</w:t>
        </w:r>
      </w:hyperlink>
      <w:r w:rsidR="008425C5" w:rsidRPr="0086564D">
        <w:rPr>
          <w:rFonts w:asciiTheme="minorBidi" w:eastAsiaTheme="majorEastAsia" w:hAnsiTheme="minorBidi"/>
          <w:i/>
          <w:iCs/>
          <w:color w:val="006666"/>
          <w:sz w:val="18"/>
          <w:szCs w:val="18"/>
        </w:rPr>
        <w:t xml:space="preserve">, </w:t>
      </w:r>
      <w:r w:rsidR="00B06501" w:rsidRPr="0086564D">
        <w:rPr>
          <w:rFonts w:asciiTheme="minorBidi" w:eastAsiaTheme="majorEastAsia" w:hAnsiTheme="minorBidi"/>
          <w:i/>
          <w:iCs/>
          <w:color w:val="006666"/>
          <w:sz w:val="18"/>
          <w:szCs w:val="18"/>
        </w:rPr>
        <w:t>202</w:t>
      </w:r>
      <w:r w:rsidR="000C59EE" w:rsidRPr="0086564D">
        <w:rPr>
          <w:rFonts w:asciiTheme="minorBidi" w:eastAsiaTheme="majorEastAsia" w:hAnsiTheme="minorBidi"/>
          <w:i/>
          <w:iCs/>
          <w:color w:val="006666"/>
          <w:sz w:val="18"/>
          <w:szCs w:val="18"/>
        </w:rPr>
        <w:t>2</w:t>
      </w:r>
    </w:p>
    <w:p w14:paraId="27C67C71" w14:textId="10385824" w:rsidR="00D54907" w:rsidRDefault="00A54E66" w:rsidP="00D54907">
      <w:pPr>
        <w:pStyle w:val="Subtitle1"/>
        <w:jc w:val="center"/>
        <w:rPr>
          <w:color w:val="006666"/>
          <w:sz w:val="32"/>
          <w:szCs w:val="48"/>
          <w:lang w:eastAsia="zh-CN"/>
        </w:rPr>
      </w:pPr>
      <w:r>
        <w:rPr>
          <w:color w:val="006666"/>
          <w:sz w:val="32"/>
          <w:szCs w:val="48"/>
          <w:lang w:eastAsia="zh-CN"/>
        </w:rPr>
        <w:lastRenderedPageBreak/>
        <w:t xml:space="preserve">Glance #3: </w:t>
      </w:r>
      <w:r w:rsidR="0097702D">
        <w:rPr>
          <w:color w:val="006666"/>
          <w:sz w:val="32"/>
          <w:szCs w:val="48"/>
          <w:lang w:eastAsia="zh-CN"/>
        </w:rPr>
        <w:t>Global economic slowdown’s implications for Mauritius</w:t>
      </w:r>
    </w:p>
    <w:p w14:paraId="5C9A163F" w14:textId="77777777" w:rsidR="00A54E66" w:rsidRPr="00D54907" w:rsidRDefault="00A54E66" w:rsidP="00D54907">
      <w:pPr>
        <w:pStyle w:val="Subtitle1"/>
        <w:jc w:val="center"/>
        <w:rPr>
          <w:color w:val="006666"/>
          <w:sz w:val="32"/>
          <w:szCs w:val="48"/>
          <w:lang w:eastAsia="zh-CN"/>
        </w:rPr>
      </w:pPr>
    </w:p>
    <w:p w14:paraId="0A8EA845" w14:textId="10FBAA38" w:rsidR="00EE7D24" w:rsidRDefault="00EE7D24" w:rsidP="00710209">
      <w:pPr>
        <w:tabs>
          <w:tab w:val="num" w:pos="720"/>
        </w:tabs>
        <w:jc w:val="center"/>
        <w:rPr>
          <w:rFonts w:asciiTheme="minorBidi" w:eastAsia="DengXian Light" w:hAnsiTheme="minorBidi"/>
          <w:b/>
          <w:bCs/>
          <w:color w:val="215868" w:themeColor="accent5" w:themeShade="80"/>
          <w:lang w:eastAsia="zh-CN"/>
        </w:rPr>
      </w:pPr>
      <w:r w:rsidRPr="00F13FBC">
        <w:rPr>
          <w:noProof/>
        </w:rPr>
        <mc:AlternateContent>
          <mc:Choice Requires="wps">
            <w:drawing>
              <wp:anchor distT="45720" distB="45720" distL="182880" distR="182880" simplePos="0" relativeHeight="251673600" behindDoc="0" locked="0" layoutInCell="1" allowOverlap="0" wp14:anchorId="21F6B14B" wp14:editId="34AF4071">
                <wp:simplePos x="0" y="0"/>
                <wp:positionH relativeFrom="page">
                  <wp:align>right</wp:align>
                </wp:positionH>
                <wp:positionV relativeFrom="page">
                  <wp:align>top</wp:align>
                </wp:positionV>
                <wp:extent cx="10683240" cy="739775"/>
                <wp:effectExtent l="0" t="0" r="3810" b="3175"/>
                <wp:wrapNone/>
                <wp:docPr id="1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3240" cy="739775"/>
                        </a:xfrm>
                        <a:prstGeom prst="rect">
                          <a:avLst/>
                        </a:prstGeom>
                        <a:solidFill>
                          <a:srgbClr val="006666"/>
                        </a:solidFill>
                        <a:ln w="76200" cmpd="dbl">
                          <a:noFill/>
                          <a:miter lim="800000"/>
                          <a:headEnd/>
                          <a:tailEnd/>
                        </a:ln>
                      </wps:spPr>
                      <wps:txbx>
                        <w:txbxContent>
                          <w:p w14:paraId="673EC08C" w14:textId="77777777" w:rsidR="003E62F2" w:rsidRPr="009D71EF" w:rsidRDefault="003E62F2" w:rsidP="003E62F2">
                            <w:pPr>
                              <w:jc w:val="center"/>
                              <w:rPr>
                                <w:i/>
                                <w:iCs/>
                                <w:caps/>
                                <w:color w:val="FFFFFF" w:themeColor="background1"/>
                                <w:sz w:val="40"/>
                                <w:szCs w:val="36"/>
                              </w:rPr>
                            </w:pPr>
                            <w:r w:rsidRPr="009D71EF">
                              <w:rPr>
                                <w:i/>
                                <w:iCs/>
                                <w:caps/>
                                <w:color w:val="FFFFFF" w:themeColor="background1"/>
                                <w:sz w:val="40"/>
                                <w:szCs w:val="40"/>
                              </w:rPr>
                              <w:t>4 GLANCES AT…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xmlns:oel="http://schemas.microsoft.com/office/2019/extlst">
            <w:pict>
              <v:rect w14:anchorId="21F6B14B" id="_x0000_s1032" style="position:absolute;left:0;text-align:left;margin-left:790pt;margin-top:0;width:841.2pt;height:58.25pt;z-index:251673600;visibility:visible;mso-wrap-style:square;mso-width-percent:0;mso-height-percent:200;mso-wrap-distance-left:14.4pt;mso-wrap-distance-top:3.6pt;mso-wrap-distance-right:14.4pt;mso-wrap-distance-bottom:3.6pt;mso-position-horizontal:right;mso-position-horizontal-relative:page;mso-position-vertical:top;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" o:allowoverlap="f" fillcolor="#066" stroked="f" strokeweight="6pt">
                <v:stroke linestyle="thinThin"/>
                <v:textbox style="mso-fit-shape-to-text:t" inset="14.4pt,14.4pt,14.4pt,14.4pt">
                  <w:txbxContent>
                    <w:p w14:paraId="673EC08C" w14:textId="77777777" w:rsidR="003E62F2" w:rsidRPr="009D71EF" w:rsidRDefault="003E62F2" w:rsidP="003E62F2">
                      <w:pPr>
                        <w:jc w:val="center"/>
                        <w:rPr>
                          <w:i/>
                          <w:iCs/>
                          <w:caps/>
                          <w:color w:val="FFFFFF" w:themeColor="background1"/>
                          <w:sz w:val="40"/>
                          <w:szCs w:val="36"/>
                        </w:rPr>
                      </w:pPr>
                      <w:r w:rsidRPr="009D71EF">
                        <w:rPr>
                          <w:i/>
                          <w:iCs/>
                          <w:caps/>
                          <w:color w:val="FFFFFF" w:themeColor="background1"/>
                          <w:sz w:val="40"/>
                          <w:szCs w:val="40"/>
                        </w:rPr>
                        <w:t>4 GLANCES AT…</w:t>
                      </w:r>
                    </w:p>
                  </w:txbxContent>
                </v:textbox>
                <w10:wrap anchorx="page" anchory="page"/>
              </v:rect>
            </w:pict>
          </mc:Fallback>
        </mc:AlternateContent>
      </w:r>
      <w:r w:rsidR="00EB3B41">
        <w:rPr>
          <w:rFonts w:ascii="Calibri" w:eastAsia="DengXian" w:hAnsi="Calibri" w:cs="Arial"/>
          <w:noProof/>
          <w:sz w:val="22"/>
          <w:szCs w:val="22"/>
          <w:lang w:eastAsia="zh-CN"/>
        </w:rPr>
        <w:drawing>
          <wp:inline distT="0" distB="0" distL="0" distR="0" wp14:anchorId="2208E3EC" wp14:editId="5776A96B">
            <wp:extent cx="4140000" cy="3600000"/>
            <wp:effectExtent l="0" t="0" r="13335"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37465" w:rsidRPr="00137465">
        <w:rPr>
          <w:noProof/>
        </w:rPr>
        <w:t xml:space="preserve"> </w:t>
      </w:r>
      <w:r w:rsidR="00137465">
        <w:rPr>
          <w:noProof/>
        </w:rPr>
        <w:drawing>
          <wp:inline distT="0" distB="0" distL="0" distR="0" wp14:anchorId="166C73D4" wp14:editId="22157C49">
            <wp:extent cx="4140000" cy="3600000"/>
            <wp:effectExtent l="0" t="0" r="13335" b="635"/>
            <wp:docPr id="14" name="Chart 14">
              <a:extLst xmlns:a="http://schemas.openxmlformats.org/drawingml/2006/main">
                <a:ext uri="{FF2B5EF4-FFF2-40B4-BE49-F238E27FC236}">
                  <a16:creationId xmlns:a16="http://schemas.microsoft.com/office/drawing/2014/main" id="{E3E10F14-8F64-4255-ABDE-788B28A1A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3CD896" w14:textId="77777777" w:rsidR="00CD7714" w:rsidRPr="00623423" w:rsidRDefault="00CD7714" w:rsidP="00FC4EA2">
      <w:pPr>
        <w:tabs>
          <w:tab w:val="num" w:pos="720"/>
        </w:tabs>
        <w:jc w:val="both"/>
        <w:rPr>
          <w:rFonts w:asciiTheme="minorBidi" w:eastAsia="DengXian Light" w:hAnsiTheme="minorBidi"/>
          <w:b/>
          <w:bCs/>
          <w:color w:val="215868" w:themeColor="accent5" w:themeShade="80"/>
          <w:sz w:val="16"/>
          <w:szCs w:val="16"/>
          <w:lang w:eastAsia="zh-CN"/>
        </w:rPr>
      </w:pPr>
    </w:p>
    <w:p w14:paraId="785092E3" w14:textId="0B2D7CEA" w:rsidR="00407932" w:rsidRDefault="006160A5" w:rsidP="00623423">
      <w:pPr>
        <w:pStyle w:val="ListParagraph"/>
        <w:numPr>
          <w:ilvl w:val="0"/>
          <w:numId w:val="8"/>
        </w:numPr>
        <w:tabs>
          <w:tab w:val="num" w:pos="720"/>
        </w:tabs>
        <w:jc w:val="both"/>
        <w:rPr>
          <w:rFonts w:asciiTheme="minorBidi" w:eastAsia="DengXian" w:hAnsiTheme="minorBidi"/>
          <w:color w:val="006666"/>
          <w:sz w:val="22"/>
          <w:szCs w:val="22"/>
          <w:lang w:eastAsia="zh-CN"/>
        </w:rPr>
      </w:pPr>
      <w:r w:rsidRPr="00623423">
        <w:rPr>
          <w:rFonts w:asciiTheme="minorBidi" w:eastAsia="DengXian" w:hAnsiTheme="minorBidi"/>
          <w:color w:val="006666"/>
          <w:sz w:val="22"/>
          <w:szCs w:val="22"/>
          <w:lang w:eastAsia="zh-CN"/>
        </w:rPr>
        <w:t>Overwhelming inflation was already putting downward pressure on demand</w:t>
      </w:r>
      <w:r w:rsidR="00FC4EA2" w:rsidRPr="00623423">
        <w:rPr>
          <w:rFonts w:asciiTheme="minorBidi" w:eastAsia="DengXian" w:hAnsiTheme="minorBidi"/>
          <w:color w:val="006666"/>
          <w:sz w:val="22"/>
          <w:szCs w:val="22"/>
          <w:lang w:eastAsia="zh-CN"/>
        </w:rPr>
        <w:t>.</w:t>
      </w:r>
      <w:r w:rsidRPr="00623423">
        <w:rPr>
          <w:rFonts w:asciiTheme="minorBidi" w:eastAsia="DengXian" w:hAnsiTheme="minorBidi"/>
          <w:color w:val="006666"/>
          <w:sz w:val="22"/>
          <w:szCs w:val="22"/>
          <w:lang w:eastAsia="zh-CN"/>
        </w:rPr>
        <w:t xml:space="preserve"> The impact of Ukraine war in Europe, of the </w:t>
      </w:r>
      <w:r w:rsidR="00150818" w:rsidRPr="00623423">
        <w:rPr>
          <w:rFonts w:asciiTheme="minorBidi" w:eastAsia="DengXian" w:hAnsiTheme="minorBidi"/>
          <w:color w:val="006666"/>
          <w:sz w:val="22"/>
          <w:szCs w:val="22"/>
          <w:lang w:eastAsia="zh-CN"/>
        </w:rPr>
        <w:t xml:space="preserve">zero-COVID policy and real estate crisis in China and of hiking interest rates in the US and elsewhere are driving a global economic slowdown that could turn into global recession in </w:t>
      </w:r>
      <w:r w:rsidR="000D7AE2">
        <w:rPr>
          <w:rFonts w:asciiTheme="minorBidi" w:eastAsia="DengXian" w:hAnsiTheme="minorBidi"/>
          <w:color w:val="006666"/>
          <w:sz w:val="22"/>
          <w:szCs w:val="22"/>
          <w:lang w:eastAsia="zh-CN"/>
        </w:rPr>
        <w:t xml:space="preserve">at least part of </w:t>
      </w:r>
      <w:r w:rsidR="00150818" w:rsidRPr="00623423">
        <w:rPr>
          <w:rFonts w:asciiTheme="minorBidi" w:eastAsia="DengXian" w:hAnsiTheme="minorBidi"/>
          <w:color w:val="006666"/>
          <w:sz w:val="22"/>
          <w:szCs w:val="22"/>
          <w:lang w:eastAsia="zh-CN"/>
        </w:rPr>
        <w:t>2023.</w:t>
      </w:r>
    </w:p>
    <w:p w14:paraId="6524FD4D" w14:textId="44A65CC7" w:rsidR="00710209" w:rsidRPr="00710209" w:rsidRDefault="00623423" w:rsidP="00710209">
      <w:pPr>
        <w:pStyle w:val="ListParagraph"/>
        <w:numPr>
          <w:ilvl w:val="0"/>
          <w:numId w:val="8"/>
        </w:numPr>
        <w:tabs>
          <w:tab w:val="num" w:pos="720"/>
        </w:tabs>
        <w:jc w:val="both"/>
        <w:rPr>
          <w:rFonts w:ascii="Arial" w:eastAsiaTheme="majorEastAsia" w:hAnsi="Arial" w:cs="Arial"/>
          <w:color w:val="006666"/>
          <w:sz w:val="18"/>
          <w:szCs w:val="18"/>
        </w:rPr>
      </w:pPr>
      <w:r w:rsidRPr="00623423">
        <w:rPr>
          <w:rFonts w:asciiTheme="minorBidi" w:eastAsia="DengXian" w:hAnsiTheme="minorBidi"/>
          <w:color w:val="006666"/>
          <w:sz w:val="22"/>
          <w:szCs w:val="22"/>
          <w:lang w:eastAsia="zh-CN"/>
        </w:rPr>
        <w:t xml:space="preserve">This global recession would in turn affect Mauritius economy by potentially slowing tourists’ arrivals and spendings, manufacturing exports, demand for ITC and financial services… affecting every </w:t>
      </w:r>
      <w:r w:rsidR="00710209" w:rsidRPr="00623423">
        <w:rPr>
          <w:rFonts w:asciiTheme="minorBidi" w:eastAsia="DengXian" w:hAnsiTheme="minorBidi"/>
          <w:color w:val="006666"/>
          <w:sz w:val="22"/>
          <w:szCs w:val="22"/>
          <w:lang w:eastAsia="zh-CN"/>
        </w:rPr>
        <w:t>driver</w:t>
      </w:r>
      <w:r w:rsidRPr="00623423">
        <w:rPr>
          <w:rFonts w:asciiTheme="minorBidi" w:eastAsia="DengXian" w:hAnsiTheme="minorBidi"/>
          <w:color w:val="006666"/>
          <w:sz w:val="22"/>
          <w:szCs w:val="22"/>
          <w:lang w:eastAsia="zh-CN"/>
        </w:rPr>
        <w:t xml:space="preserve"> of economic recovery</w:t>
      </w:r>
    </w:p>
    <w:p w14:paraId="3E2C661B" w14:textId="376C52E1" w:rsidR="00710209" w:rsidRPr="00710209" w:rsidRDefault="00710209" w:rsidP="00710209">
      <w:pPr>
        <w:pStyle w:val="ListParagraph"/>
        <w:numPr>
          <w:ilvl w:val="0"/>
          <w:numId w:val="8"/>
        </w:numPr>
        <w:tabs>
          <w:tab w:val="num" w:pos="720"/>
        </w:tabs>
        <w:jc w:val="both"/>
        <w:rPr>
          <w:rFonts w:ascii="Arial" w:eastAsiaTheme="majorEastAsia" w:hAnsi="Arial" w:cs="Arial"/>
          <w:color w:val="006666"/>
          <w:sz w:val="18"/>
          <w:szCs w:val="18"/>
        </w:rPr>
      </w:pPr>
      <w:r w:rsidRPr="008009C7">
        <w:rPr>
          <w:rFonts w:asciiTheme="minorBidi" w:eastAsia="DengXian" w:hAnsiTheme="minorBidi"/>
          <w:b/>
          <w:bCs/>
          <w:color w:val="006666"/>
          <w:sz w:val="22"/>
          <w:szCs w:val="22"/>
          <w:lang w:eastAsia="zh-CN"/>
        </w:rPr>
        <w:t>Public finance</w:t>
      </w:r>
      <w:r>
        <w:rPr>
          <w:rFonts w:asciiTheme="minorBidi" w:eastAsia="DengXian" w:hAnsiTheme="minorBidi"/>
          <w:color w:val="006666"/>
          <w:sz w:val="22"/>
          <w:szCs w:val="22"/>
          <w:lang w:eastAsia="zh-CN"/>
        </w:rPr>
        <w:t xml:space="preserve"> will suffer too,</w:t>
      </w:r>
      <w:r w:rsidR="00137465">
        <w:rPr>
          <w:rFonts w:asciiTheme="minorBidi" w:eastAsia="DengXian" w:hAnsiTheme="minorBidi"/>
          <w:color w:val="006666"/>
          <w:sz w:val="22"/>
          <w:szCs w:val="22"/>
          <w:lang w:eastAsia="zh-CN"/>
        </w:rPr>
        <w:t xml:space="preserve"> with a decrease in revenues from tourism and economic activity in general, and the </w:t>
      </w:r>
      <w:r w:rsidR="00137465" w:rsidRPr="008009C7">
        <w:rPr>
          <w:rFonts w:asciiTheme="minorBidi" w:eastAsia="DengXian" w:hAnsiTheme="minorBidi"/>
          <w:b/>
          <w:bCs/>
          <w:color w:val="006666"/>
          <w:sz w:val="22"/>
          <w:szCs w:val="22"/>
          <w:lang w:eastAsia="zh-CN"/>
        </w:rPr>
        <w:t>commercial deficit would increase</w:t>
      </w:r>
      <w:r w:rsidR="00137465">
        <w:rPr>
          <w:rFonts w:asciiTheme="minorBidi" w:eastAsia="DengXian" w:hAnsiTheme="minorBidi"/>
          <w:color w:val="006666"/>
          <w:sz w:val="22"/>
          <w:szCs w:val="22"/>
          <w:lang w:eastAsia="zh-CN"/>
        </w:rPr>
        <w:t>, as imports are less likely to decrease than exports, in a context of high dependence on strategic imports (food, fuel, etc.) and high concentration of exports (tourism, manufacturing, etc.)</w:t>
      </w:r>
      <w:r w:rsidR="008009C7">
        <w:rPr>
          <w:rFonts w:asciiTheme="minorBidi" w:eastAsia="DengXian" w:hAnsiTheme="minorBidi"/>
          <w:color w:val="006666"/>
          <w:sz w:val="22"/>
          <w:szCs w:val="22"/>
          <w:lang w:eastAsia="zh-CN"/>
        </w:rPr>
        <w:t>.</w:t>
      </w:r>
    </w:p>
    <w:p w14:paraId="1D19B7D3" w14:textId="7D721D30" w:rsidR="00710209" w:rsidRPr="00710209" w:rsidRDefault="00710209" w:rsidP="00137465">
      <w:pPr>
        <w:pStyle w:val="ListParagraph"/>
        <w:jc w:val="both"/>
        <w:rPr>
          <w:rFonts w:ascii="Arial" w:eastAsiaTheme="majorEastAsia" w:hAnsi="Arial" w:cs="Arial"/>
          <w:color w:val="006666"/>
          <w:sz w:val="18"/>
          <w:szCs w:val="18"/>
        </w:rPr>
      </w:pPr>
    </w:p>
    <w:p w14:paraId="4C9EE0BC" w14:textId="7DAF904E" w:rsidR="00F87464" w:rsidRPr="0086564D" w:rsidRDefault="00F87464" w:rsidP="00710209">
      <w:pPr>
        <w:tabs>
          <w:tab w:val="num" w:pos="720"/>
        </w:tabs>
        <w:ind w:left="360"/>
        <w:jc w:val="both"/>
        <w:rPr>
          <w:rFonts w:ascii="Arial" w:eastAsiaTheme="majorEastAsia" w:hAnsi="Arial" w:cs="Arial"/>
          <w:i/>
          <w:iCs/>
          <w:color w:val="006666"/>
          <w:sz w:val="18"/>
          <w:szCs w:val="18"/>
        </w:rPr>
      </w:pPr>
      <w:r w:rsidRPr="0086564D">
        <w:rPr>
          <w:rFonts w:ascii="Arial" w:eastAsiaTheme="majorEastAsia" w:hAnsi="Arial" w:cs="Arial"/>
          <w:i/>
          <w:iCs/>
          <w:color w:val="006666"/>
          <w:sz w:val="18"/>
          <w:szCs w:val="18"/>
        </w:rPr>
        <w:t xml:space="preserve">Source: </w:t>
      </w:r>
      <w:r w:rsidR="004708C3" w:rsidRPr="0086564D">
        <w:rPr>
          <w:rFonts w:ascii="Arial" w:eastAsiaTheme="majorEastAsia" w:hAnsi="Arial" w:cs="Arial"/>
          <w:i/>
          <w:iCs/>
          <w:color w:val="006666"/>
          <w:sz w:val="18"/>
          <w:szCs w:val="18"/>
        </w:rPr>
        <w:t>The Economist Intelligence Unit</w:t>
      </w:r>
      <w:r w:rsidRPr="0086564D">
        <w:rPr>
          <w:rFonts w:ascii="Arial" w:eastAsiaTheme="majorEastAsia" w:hAnsi="Arial" w:cs="Arial"/>
          <w:i/>
          <w:iCs/>
          <w:color w:val="006666"/>
          <w:sz w:val="18"/>
          <w:szCs w:val="18"/>
        </w:rPr>
        <w:t xml:space="preserve">, </w:t>
      </w:r>
      <w:hyperlink r:id="rId30" w:history="1">
        <w:r w:rsidR="004708C3" w:rsidRPr="0086564D">
          <w:rPr>
            <w:rStyle w:val="Hyperlink"/>
            <w:rFonts w:ascii="Arial" w:eastAsiaTheme="majorEastAsia" w:hAnsi="Arial" w:cs="Arial"/>
            <w:i/>
            <w:iCs/>
            <w:sz w:val="18"/>
            <w:szCs w:val="18"/>
          </w:rPr>
          <w:t>Global and regional growth projections</w:t>
        </w:r>
      </w:hyperlink>
      <w:r w:rsidRPr="0086564D">
        <w:rPr>
          <w:rFonts w:ascii="Arial" w:eastAsiaTheme="majorEastAsia" w:hAnsi="Arial" w:cs="Arial"/>
          <w:i/>
          <w:iCs/>
          <w:color w:val="006666"/>
          <w:sz w:val="18"/>
          <w:szCs w:val="18"/>
        </w:rPr>
        <w:t xml:space="preserve">, </w:t>
      </w:r>
      <w:r w:rsidR="0064770C" w:rsidRPr="0086564D">
        <w:rPr>
          <w:rFonts w:ascii="Arial" w:eastAsiaTheme="majorEastAsia" w:hAnsi="Arial" w:cs="Arial"/>
          <w:i/>
          <w:iCs/>
          <w:color w:val="006666"/>
          <w:sz w:val="18"/>
          <w:szCs w:val="18"/>
        </w:rPr>
        <w:t xml:space="preserve">October </w:t>
      </w:r>
      <w:r w:rsidRPr="0086564D">
        <w:rPr>
          <w:rFonts w:ascii="Arial" w:eastAsiaTheme="majorEastAsia" w:hAnsi="Arial" w:cs="Arial"/>
          <w:i/>
          <w:iCs/>
          <w:color w:val="006666"/>
          <w:sz w:val="18"/>
          <w:szCs w:val="18"/>
        </w:rPr>
        <w:t>202</w:t>
      </w:r>
      <w:r w:rsidR="004708C3" w:rsidRPr="0086564D">
        <w:rPr>
          <w:rFonts w:ascii="Arial" w:eastAsiaTheme="majorEastAsia" w:hAnsi="Arial" w:cs="Arial"/>
          <w:i/>
          <w:iCs/>
          <w:color w:val="006666"/>
          <w:sz w:val="18"/>
          <w:szCs w:val="18"/>
        </w:rPr>
        <w:t>2</w:t>
      </w:r>
      <w:r w:rsidR="0064770C" w:rsidRPr="0086564D">
        <w:rPr>
          <w:rFonts w:ascii="Arial" w:eastAsiaTheme="majorEastAsia" w:hAnsi="Arial" w:cs="Arial"/>
          <w:i/>
          <w:iCs/>
          <w:color w:val="006666"/>
          <w:sz w:val="18"/>
          <w:szCs w:val="18"/>
        </w:rPr>
        <w:t xml:space="preserve"> and IMF, </w:t>
      </w:r>
      <w:hyperlink r:id="rId31" w:history="1">
        <w:r w:rsidR="0064770C" w:rsidRPr="0086564D">
          <w:rPr>
            <w:rStyle w:val="Hyperlink"/>
            <w:rFonts w:ascii="Arial" w:eastAsiaTheme="majorEastAsia" w:hAnsi="Arial" w:cs="Arial"/>
            <w:i/>
            <w:iCs/>
            <w:sz w:val="18"/>
            <w:szCs w:val="18"/>
          </w:rPr>
          <w:t>World Economic Outlook Database</w:t>
        </w:r>
      </w:hyperlink>
      <w:r w:rsidR="0064770C" w:rsidRPr="0086564D">
        <w:rPr>
          <w:rFonts w:ascii="Arial" w:eastAsiaTheme="majorEastAsia" w:hAnsi="Arial" w:cs="Arial"/>
          <w:i/>
          <w:iCs/>
          <w:color w:val="006666"/>
          <w:sz w:val="18"/>
          <w:szCs w:val="18"/>
        </w:rPr>
        <w:t>, October 2022</w:t>
      </w:r>
    </w:p>
    <w:p w14:paraId="15C5D75F" w14:textId="0AE3DA37" w:rsidR="00FD0724" w:rsidRDefault="00137465" w:rsidP="00175DC1">
      <w:pPr>
        <w:pStyle w:val="Subtitle1"/>
        <w:jc w:val="center"/>
        <w:rPr>
          <w:color w:val="006666"/>
          <w:sz w:val="32"/>
          <w:szCs w:val="48"/>
          <w:lang w:eastAsia="zh-CN"/>
        </w:rPr>
      </w:pPr>
      <w:r w:rsidRPr="00312B3B">
        <w:rPr>
          <w:color w:val="006666"/>
          <w:sz w:val="32"/>
          <w:szCs w:val="48"/>
          <w:lang w:eastAsia="zh-CN"/>
        </w:rPr>
        <w:lastRenderedPageBreak/>
        <w:t>Glance#4</w:t>
      </w:r>
      <w:r w:rsidR="00312B3B">
        <w:rPr>
          <w:color w:val="006666"/>
          <w:sz w:val="32"/>
          <w:szCs w:val="48"/>
          <w:lang w:eastAsia="zh-CN"/>
        </w:rPr>
        <w:t>:</w:t>
      </w:r>
      <w:r w:rsidR="00FA7D3E">
        <w:rPr>
          <w:rFonts w:asciiTheme="majorHAnsi" w:hAnsiTheme="majorHAnsi" w:cstheme="majorHAnsi"/>
        </w:rPr>
        <w:t xml:space="preserve"> </w:t>
      </w:r>
      <w:r w:rsidR="00DF75ED">
        <w:rPr>
          <w:color w:val="006666"/>
          <w:sz w:val="32"/>
          <w:szCs w:val="48"/>
          <w:lang w:eastAsia="zh-CN"/>
        </w:rPr>
        <w:t xml:space="preserve">Mauritius next </w:t>
      </w:r>
      <w:r>
        <w:rPr>
          <w:color w:val="006666"/>
          <w:sz w:val="32"/>
          <w:szCs w:val="48"/>
          <w:lang w:eastAsia="zh-CN"/>
        </w:rPr>
        <w:t xml:space="preserve">economic </w:t>
      </w:r>
      <w:r w:rsidR="00DF75ED">
        <w:rPr>
          <w:color w:val="006666"/>
          <w:sz w:val="32"/>
          <w:szCs w:val="48"/>
          <w:lang w:eastAsia="zh-CN"/>
        </w:rPr>
        <w:t>frontiers</w:t>
      </w:r>
    </w:p>
    <w:p w14:paraId="63CB5998" w14:textId="77777777" w:rsidR="004708C3" w:rsidRPr="00175DC1" w:rsidRDefault="004708C3" w:rsidP="00175DC1">
      <w:pPr>
        <w:pStyle w:val="Subtitle1"/>
        <w:jc w:val="center"/>
        <w:rPr>
          <w:color w:val="006666"/>
          <w:sz w:val="32"/>
          <w:szCs w:val="48"/>
          <w:lang w:eastAsia="zh-CN"/>
        </w:rPr>
      </w:pPr>
    </w:p>
    <w:p w14:paraId="3AB13FE3" w14:textId="3E7AD968" w:rsidR="00FD0724" w:rsidRDefault="0060313C" w:rsidP="0060313C">
      <w:pPr>
        <w:jc w:val="center"/>
        <w:rPr>
          <w:rFonts w:asciiTheme="minorBidi" w:eastAsia="DengXian Light" w:hAnsiTheme="minorBidi"/>
          <w:b/>
          <w:bCs/>
          <w:color w:val="006666"/>
          <w:sz w:val="22"/>
          <w:szCs w:val="22"/>
          <w:lang w:eastAsia="zh-CN"/>
        </w:rPr>
      </w:pPr>
      <w:r w:rsidRPr="00E557D5">
        <w:rPr>
          <w:rFonts w:asciiTheme="minorBidi" w:eastAsia="DengXian Light" w:hAnsiTheme="minorBidi"/>
          <w:b/>
          <w:bCs/>
          <w:noProof/>
          <w:color w:val="006666"/>
          <w:sz w:val="22"/>
          <w:szCs w:val="22"/>
          <w:lang w:eastAsia="zh-CN"/>
        </w:rPr>
        <w:drawing>
          <wp:inline distT="0" distB="0" distL="0" distR="0" wp14:anchorId="09F33B2F" wp14:editId="3DF2C08D">
            <wp:extent cx="4140000" cy="3600000"/>
            <wp:effectExtent l="0" t="0" r="13335"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8052C" w:rsidRPr="00E557D5">
        <w:rPr>
          <w:rFonts w:asciiTheme="minorBidi" w:eastAsia="DengXian Light" w:hAnsiTheme="minorBidi"/>
          <w:b/>
          <w:bCs/>
          <w:noProof/>
          <w:color w:val="006666"/>
          <w:sz w:val="22"/>
          <w:szCs w:val="22"/>
          <w:lang w:eastAsia="zh-CN"/>
        </w:rPr>
        <w:drawing>
          <wp:inline distT="0" distB="0" distL="0" distR="0" wp14:anchorId="18649FA9" wp14:editId="5C566878">
            <wp:extent cx="4104000" cy="3600000"/>
            <wp:effectExtent l="0" t="0" r="1143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A14A58" w14:textId="61C021F3" w:rsidR="00BF0542" w:rsidRPr="00AC40EB" w:rsidRDefault="00EE7D24" w:rsidP="0060313C">
      <w:pPr>
        <w:pStyle w:val="ListParagraph"/>
        <w:numPr>
          <w:ilvl w:val="0"/>
          <w:numId w:val="9"/>
        </w:numPr>
        <w:jc w:val="both"/>
        <w:rPr>
          <w:color w:val="000000"/>
          <w:sz w:val="22"/>
          <w:szCs w:val="22"/>
        </w:rPr>
      </w:pPr>
      <w:r w:rsidRPr="009000D0">
        <w:rPr>
          <w:noProof/>
          <w:sz w:val="22"/>
          <w:szCs w:val="22"/>
        </w:rPr>
        <mc:AlternateContent>
          <mc:Choice Requires="wps">
            <w:drawing>
              <wp:anchor distT="45720" distB="45720" distL="182880" distR="182880" simplePos="0" relativeHeight="251682816" behindDoc="0" locked="0" layoutInCell="1" allowOverlap="0" wp14:anchorId="7DF18902" wp14:editId="726477C0">
                <wp:simplePos x="0" y="0"/>
                <wp:positionH relativeFrom="page">
                  <wp:align>right</wp:align>
                </wp:positionH>
                <wp:positionV relativeFrom="page">
                  <wp:align>top</wp:align>
                </wp:positionV>
                <wp:extent cx="10683240" cy="739775"/>
                <wp:effectExtent l="0" t="0" r="3810" b="317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3240" cy="739775"/>
                        </a:xfrm>
                        <a:prstGeom prst="rect">
                          <a:avLst/>
                        </a:prstGeom>
                        <a:solidFill>
                          <a:srgbClr val="006666"/>
                        </a:solidFill>
                        <a:ln w="76200" cmpd="dbl">
                          <a:noFill/>
                          <a:miter lim="800000"/>
                          <a:headEnd/>
                          <a:tailEnd/>
                        </a:ln>
                      </wps:spPr>
                      <wps:txbx>
                        <w:txbxContent>
                          <w:p w14:paraId="191826CA" w14:textId="77777777" w:rsidR="00EE7D24" w:rsidRPr="009D71EF" w:rsidRDefault="00EE7D24" w:rsidP="00EE7D24">
                            <w:pPr>
                              <w:jc w:val="center"/>
                              <w:rPr>
                                <w:i/>
                                <w:iCs/>
                                <w:caps/>
                                <w:color w:val="FFFFFF" w:themeColor="background1"/>
                                <w:sz w:val="40"/>
                                <w:szCs w:val="36"/>
                              </w:rPr>
                            </w:pPr>
                            <w:r w:rsidRPr="009D71EF">
                              <w:rPr>
                                <w:i/>
                                <w:iCs/>
                                <w:caps/>
                                <w:color w:val="FFFFFF" w:themeColor="background1"/>
                                <w:sz w:val="40"/>
                                <w:szCs w:val="40"/>
                              </w:rPr>
                              <w:t>4 GLANCES AT…</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xmlns:oel="http://schemas.microsoft.com/office/2019/extlst">
            <w:pict>
              <v:rect w14:anchorId="7DF18902" id="_x0000_s1033" style="position:absolute;left:0;text-align:left;margin-left:790pt;margin-top:0;width:841.2pt;height:58.25pt;z-index:251682816;visibility:visible;mso-wrap-style:square;mso-width-percent:0;mso-height-percent:200;mso-wrap-distance-left:14.4pt;mso-wrap-distance-top:3.6pt;mso-wrap-distance-right:14.4pt;mso-wrap-distance-bottom:3.6pt;mso-position-horizontal:right;mso-position-horizontal-relative:page;mso-position-vertical:top;mso-position-vertical-relative:page;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" o:allowoverlap="f" fillcolor="#066" stroked="f" strokeweight="6pt">
                <v:stroke linestyle="thinThin"/>
                <v:textbox style="mso-fit-shape-to-text:t" inset="14.4pt,14.4pt,14.4pt,14.4pt">
                  <w:txbxContent>
                    <w:p w14:paraId="191826CA" w14:textId="77777777" w:rsidR="00EE7D24" w:rsidRPr="009D71EF" w:rsidRDefault="00EE7D24" w:rsidP="00EE7D24">
                      <w:pPr>
                        <w:jc w:val="center"/>
                        <w:rPr>
                          <w:i/>
                          <w:iCs/>
                          <w:caps/>
                          <w:color w:val="FFFFFF" w:themeColor="background1"/>
                          <w:sz w:val="40"/>
                          <w:szCs w:val="36"/>
                        </w:rPr>
                      </w:pPr>
                      <w:r w:rsidRPr="009D71EF">
                        <w:rPr>
                          <w:i/>
                          <w:iCs/>
                          <w:caps/>
                          <w:color w:val="FFFFFF" w:themeColor="background1"/>
                          <w:sz w:val="40"/>
                          <w:szCs w:val="40"/>
                        </w:rPr>
                        <w:t>4 GLANCES AT…</w:t>
                      </w:r>
                    </w:p>
                  </w:txbxContent>
                </v:textbox>
                <w10:wrap anchorx="page" anchory="page"/>
              </v:rect>
            </w:pict>
          </mc:Fallback>
        </mc:AlternateContent>
      </w:r>
      <w:r w:rsidR="00BF0542">
        <w:rPr>
          <w:rFonts w:asciiTheme="minorBidi" w:eastAsia="DengXian" w:hAnsiTheme="minorBidi"/>
          <w:color w:val="006666"/>
          <w:sz w:val="20"/>
          <w:szCs w:val="20"/>
          <w:lang w:eastAsia="zh-CN"/>
        </w:rPr>
        <w:t xml:space="preserve">The projections for key economic indicators for Mauritius, in this challenging global context, are rather gloomy, with a </w:t>
      </w:r>
      <w:r w:rsidR="00BF0542" w:rsidRPr="00136322">
        <w:rPr>
          <w:rFonts w:asciiTheme="minorBidi" w:eastAsia="DengXian" w:hAnsiTheme="minorBidi"/>
          <w:b/>
          <w:bCs/>
          <w:color w:val="006666"/>
          <w:sz w:val="20"/>
          <w:szCs w:val="20"/>
          <w:lang w:eastAsia="zh-CN"/>
        </w:rPr>
        <w:t>limited growth, declining investments, and stagnating unemployment rate</w:t>
      </w:r>
      <w:r w:rsidR="00BF0542">
        <w:rPr>
          <w:rFonts w:asciiTheme="minorBidi" w:eastAsia="DengXian" w:hAnsiTheme="minorBidi"/>
          <w:color w:val="006666"/>
          <w:sz w:val="20"/>
          <w:szCs w:val="20"/>
          <w:lang w:eastAsia="zh-CN"/>
        </w:rPr>
        <w:t xml:space="preserve"> during the next 5 years</w:t>
      </w:r>
    </w:p>
    <w:p w14:paraId="22E356FF" w14:textId="18031A87" w:rsidR="00AC40EB" w:rsidRPr="00BF0542" w:rsidRDefault="00136322" w:rsidP="0060313C">
      <w:pPr>
        <w:pStyle w:val="ListParagraph"/>
        <w:numPr>
          <w:ilvl w:val="0"/>
          <w:numId w:val="9"/>
        </w:numPr>
        <w:jc w:val="both"/>
        <w:rPr>
          <w:color w:val="000000"/>
          <w:sz w:val="22"/>
          <w:szCs w:val="22"/>
        </w:rPr>
      </w:pPr>
      <w:r>
        <w:rPr>
          <w:rFonts w:asciiTheme="minorBidi" w:eastAsia="DengXian" w:hAnsiTheme="minorBidi"/>
          <w:color w:val="006666"/>
          <w:sz w:val="20"/>
          <w:szCs w:val="20"/>
          <w:lang w:eastAsia="zh-CN"/>
        </w:rPr>
        <w:t xml:space="preserve">Although climate change will continue to impact the country on the long run, the other crises are but the symptoms of a profound shift between the era of unfettered globalization of the last 50 years, and a new era more focused on resilience, with </w:t>
      </w:r>
      <w:r w:rsidRPr="00136322">
        <w:rPr>
          <w:rFonts w:asciiTheme="minorBidi" w:eastAsia="DengXian" w:hAnsiTheme="minorBidi"/>
          <w:b/>
          <w:bCs/>
          <w:color w:val="006666"/>
          <w:sz w:val="20"/>
          <w:szCs w:val="20"/>
          <w:lang w:eastAsia="zh-CN"/>
        </w:rPr>
        <w:t>regionalization and localization as important megatrends</w:t>
      </w:r>
      <w:r>
        <w:rPr>
          <w:rFonts w:asciiTheme="minorBidi" w:eastAsia="DengXian" w:hAnsiTheme="minorBidi"/>
          <w:color w:val="006666"/>
          <w:sz w:val="20"/>
          <w:szCs w:val="20"/>
          <w:lang w:eastAsia="zh-CN"/>
        </w:rPr>
        <w:t xml:space="preserve">. This will open new opportunities for renewed economic development if the country is well prepared. </w:t>
      </w:r>
    </w:p>
    <w:p w14:paraId="3F63A02C" w14:textId="4291EF76" w:rsidR="0060313C" w:rsidRPr="009000D0" w:rsidRDefault="0060313C" w:rsidP="0060313C">
      <w:pPr>
        <w:pStyle w:val="ListParagraph"/>
        <w:numPr>
          <w:ilvl w:val="0"/>
          <w:numId w:val="9"/>
        </w:numPr>
        <w:jc w:val="both"/>
        <w:rPr>
          <w:color w:val="000000"/>
          <w:sz w:val="22"/>
          <w:szCs w:val="22"/>
        </w:rPr>
      </w:pPr>
      <w:r w:rsidRPr="009000D0">
        <w:rPr>
          <w:rFonts w:asciiTheme="minorBidi" w:eastAsia="DengXian" w:hAnsiTheme="minorBidi"/>
          <w:color w:val="006666"/>
          <w:sz w:val="20"/>
          <w:szCs w:val="20"/>
          <w:lang w:eastAsia="zh-CN"/>
        </w:rPr>
        <w:t xml:space="preserve">Beyond the contribution of fisheries to food systems and of renewable energies to energetic transition, both in a vision of </w:t>
      </w:r>
      <w:r w:rsidRPr="009000D0">
        <w:rPr>
          <w:rFonts w:asciiTheme="minorBidi" w:eastAsia="DengXian" w:hAnsiTheme="minorBidi"/>
          <w:b/>
          <w:bCs/>
          <w:color w:val="006666"/>
          <w:sz w:val="20"/>
          <w:szCs w:val="20"/>
          <w:lang w:eastAsia="zh-CN"/>
        </w:rPr>
        <w:t>self-reliance and resilience</w:t>
      </w:r>
      <w:r w:rsidRPr="009000D0">
        <w:rPr>
          <w:rFonts w:asciiTheme="minorBidi" w:eastAsia="DengXian" w:hAnsiTheme="minorBidi"/>
          <w:color w:val="006666"/>
          <w:sz w:val="20"/>
          <w:szCs w:val="20"/>
          <w:lang w:eastAsia="zh-CN"/>
        </w:rPr>
        <w:t>, the blue economy presents great potential in Mauritius in the sectors of renewable energies, high-end ocean-based food production, maritime transport, IC</w:t>
      </w:r>
      <w:r w:rsidR="00BF0542">
        <w:rPr>
          <w:rFonts w:asciiTheme="minorBidi" w:eastAsia="DengXian" w:hAnsiTheme="minorBidi"/>
          <w:color w:val="006666"/>
          <w:sz w:val="20"/>
          <w:szCs w:val="20"/>
          <w:lang w:eastAsia="zh-CN"/>
        </w:rPr>
        <w:t>T</w:t>
      </w:r>
      <w:r w:rsidRPr="009000D0">
        <w:rPr>
          <w:rFonts w:asciiTheme="minorBidi" w:eastAsia="DengXian" w:hAnsiTheme="minorBidi"/>
          <w:color w:val="006666"/>
          <w:sz w:val="20"/>
          <w:szCs w:val="20"/>
          <w:lang w:eastAsia="zh-CN"/>
        </w:rPr>
        <w:t xml:space="preserve"> services and blue biotech. </w:t>
      </w:r>
    </w:p>
    <w:p w14:paraId="50CD80E7" w14:textId="5F227C08" w:rsidR="009000D0" w:rsidRPr="00136322" w:rsidRDefault="0060313C" w:rsidP="00136322">
      <w:pPr>
        <w:pStyle w:val="ListParagraph"/>
        <w:numPr>
          <w:ilvl w:val="0"/>
          <w:numId w:val="9"/>
        </w:numPr>
        <w:spacing w:before="240" w:after="160" w:line="259" w:lineRule="auto"/>
        <w:jc w:val="both"/>
        <w:rPr>
          <w:rFonts w:ascii="Arial" w:eastAsiaTheme="majorEastAsia" w:hAnsi="Arial" w:cs="Arial"/>
          <w:color w:val="006666"/>
          <w:sz w:val="20"/>
          <w:szCs w:val="20"/>
        </w:rPr>
      </w:pPr>
      <w:r w:rsidRPr="00AC40EB">
        <w:rPr>
          <w:rFonts w:asciiTheme="minorBidi" w:eastAsia="DengXian" w:hAnsiTheme="minorBidi"/>
          <w:color w:val="006666"/>
          <w:sz w:val="20"/>
          <w:szCs w:val="20"/>
          <w:lang w:eastAsia="zh-CN"/>
        </w:rPr>
        <w:t xml:space="preserve">Harnessing </w:t>
      </w:r>
      <w:r w:rsidRPr="00AC40EB">
        <w:rPr>
          <w:rFonts w:asciiTheme="minorBidi" w:eastAsia="DengXian" w:hAnsiTheme="minorBidi"/>
          <w:b/>
          <w:bCs/>
          <w:color w:val="006666"/>
          <w:sz w:val="20"/>
          <w:szCs w:val="20"/>
          <w:lang w:eastAsia="zh-CN"/>
        </w:rPr>
        <w:t>ocean-based renewable energies</w:t>
      </w:r>
      <w:r w:rsidRPr="00AC40EB">
        <w:rPr>
          <w:rFonts w:asciiTheme="minorBidi" w:eastAsia="DengXian" w:hAnsiTheme="minorBidi"/>
          <w:color w:val="006666"/>
          <w:sz w:val="20"/>
          <w:szCs w:val="20"/>
          <w:lang w:eastAsia="zh-CN"/>
        </w:rPr>
        <w:t xml:space="preserve">, reinforcing </w:t>
      </w:r>
      <w:r w:rsidRPr="00AC40EB">
        <w:rPr>
          <w:rFonts w:asciiTheme="minorBidi" w:eastAsia="DengXian" w:hAnsiTheme="minorBidi"/>
          <w:b/>
          <w:bCs/>
          <w:color w:val="006666"/>
          <w:sz w:val="20"/>
          <w:szCs w:val="20"/>
          <w:lang w:eastAsia="zh-CN"/>
        </w:rPr>
        <w:t>small-scale fisheries</w:t>
      </w:r>
      <w:r w:rsidRPr="00AC40EB">
        <w:rPr>
          <w:rFonts w:asciiTheme="minorBidi" w:eastAsia="DengXian" w:hAnsiTheme="minorBidi"/>
          <w:color w:val="006666"/>
          <w:sz w:val="20"/>
          <w:szCs w:val="20"/>
          <w:lang w:eastAsia="zh-CN"/>
        </w:rPr>
        <w:t xml:space="preserve">, offering </w:t>
      </w:r>
      <w:r w:rsidRPr="00AC40EB">
        <w:rPr>
          <w:rFonts w:asciiTheme="minorBidi" w:eastAsia="DengXian" w:hAnsiTheme="minorBidi"/>
          <w:b/>
          <w:bCs/>
          <w:color w:val="006666"/>
          <w:sz w:val="20"/>
          <w:szCs w:val="20"/>
          <w:lang w:eastAsia="zh-CN"/>
        </w:rPr>
        <w:t>sustainable shipping</w:t>
      </w:r>
      <w:r w:rsidRPr="00AC40EB">
        <w:rPr>
          <w:rFonts w:asciiTheme="minorBidi" w:eastAsia="DengXian" w:hAnsiTheme="minorBidi"/>
          <w:color w:val="006666"/>
          <w:sz w:val="20"/>
          <w:szCs w:val="20"/>
          <w:lang w:eastAsia="zh-CN"/>
        </w:rPr>
        <w:t xml:space="preserve"> (and related) services, exploring possibilities linked to blue </w:t>
      </w:r>
      <w:r w:rsidRPr="00AC40EB">
        <w:rPr>
          <w:rFonts w:asciiTheme="minorBidi" w:eastAsia="DengXian" w:hAnsiTheme="minorBidi"/>
          <w:b/>
          <w:bCs/>
          <w:color w:val="006666"/>
          <w:sz w:val="20"/>
          <w:szCs w:val="20"/>
          <w:lang w:eastAsia="zh-CN"/>
        </w:rPr>
        <w:t>biotechnologies</w:t>
      </w:r>
      <w:r w:rsidRPr="00AC40EB">
        <w:rPr>
          <w:rFonts w:asciiTheme="minorBidi" w:eastAsia="DengXian" w:hAnsiTheme="minorBidi"/>
          <w:color w:val="006666"/>
          <w:sz w:val="20"/>
          <w:szCs w:val="20"/>
          <w:lang w:eastAsia="zh-CN"/>
        </w:rPr>
        <w:t>, should un</w:t>
      </w:r>
      <w:r w:rsidR="00AC40EB" w:rsidRPr="00AC40EB">
        <w:rPr>
          <w:rFonts w:asciiTheme="minorBidi" w:eastAsia="DengXian" w:hAnsiTheme="minorBidi"/>
          <w:color w:val="006666"/>
          <w:sz w:val="20"/>
          <w:szCs w:val="20"/>
          <w:lang w:eastAsia="zh-CN"/>
        </w:rPr>
        <w:t>tap</w:t>
      </w:r>
      <w:r w:rsidRPr="00AC40EB">
        <w:rPr>
          <w:rFonts w:asciiTheme="minorBidi" w:eastAsia="DengXian" w:hAnsiTheme="minorBidi"/>
          <w:color w:val="006666"/>
          <w:sz w:val="20"/>
          <w:szCs w:val="20"/>
          <w:lang w:eastAsia="zh-CN"/>
        </w:rPr>
        <w:t xml:space="preserve"> the potential of the blue economy in Mauritius</w:t>
      </w:r>
      <w:r w:rsidR="00AC40EB" w:rsidRPr="00AC40EB">
        <w:rPr>
          <w:rFonts w:asciiTheme="minorBidi" w:eastAsia="DengXian" w:hAnsiTheme="minorBidi"/>
          <w:color w:val="006666"/>
          <w:sz w:val="20"/>
          <w:szCs w:val="20"/>
          <w:lang w:eastAsia="zh-CN"/>
        </w:rPr>
        <w:t xml:space="preserve">, leading to the creation of </w:t>
      </w:r>
      <w:r w:rsidR="009000D0" w:rsidRPr="00AC40EB">
        <w:rPr>
          <w:rFonts w:asciiTheme="minorBidi" w:eastAsia="DengXian" w:hAnsiTheme="minorBidi"/>
          <w:color w:val="006666"/>
          <w:sz w:val="20"/>
          <w:szCs w:val="20"/>
          <w:lang w:eastAsia="zh-CN"/>
        </w:rPr>
        <w:t>around 9,000 jobs</w:t>
      </w:r>
      <w:r w:rsidR="007642C1" w:rsidRPr="00AC40EB">
        <w:rPr>
          <w:rFonts w:asciiTheme="minorBidi" w:eastAsia="DengXian" w:hAnsiTheme="minorBidi"/>
          <w:color w:val="006666"/>
          <w:sz w:val="20"/>
          <w:szCs w:val="20"/>
          <w:lang w:eastAsia="zh-CN"/>
        </w:rPr>
        <w:t>.</w:t>
      </w:r>
      <w:r w:rsidR="007642C1" w:rsidRPr="00136322">
        <w:rPr>
          <w:rFonts w:asciiTheme="minorBidi" w:eastAsia="DengXian" w:hAnsiTheme="minorBidi"/>
          <w:color w:val="006666"/>
          <w:sz w:val="20"/>
          <w:szCs w:val="20"/>
          <w:lang w:eastAsia="zh-CN"/>
        </w:rPr>
        <w:t xml:space="preserve"> </w:t>
      </w:r>
    </w:p>
    <w:p w14:paraId="1A0B3C18" w14:textId="7D507111" w:rsidR="00407932" w:rsidRPr="0086564D" w:rsidRDefault="00407932" w:rsidP="00136322">
      <w:pPr>
        <w:pStyle w:val="ListParagraph"/>
        <w:spacing w:before="240" w:after="160" w:line="259" w:lineRule="auto"/>
        <w:jc w:val="both"/>
        <w:rPr>
          <w:rFonts w:ascii="Arial" w:eastAsiaTheme="majorEastAsia" w:hAnsi="Arial" w:cs="Arial"/>
          <w:i/>
          <w:iCs/>
          <w:color w:val="006666"/>
          <w:sz w:val="18"/>
          <w:szCs w:val="18"/>
        </w:rPr>
        <w:sectPr w:rsidR="00407932" w:rsidRPr="0086564D" w:rsidSect="00763895">
          <w:headerReference w:type="even" r:id="rId34"/>
          <w:headerReference w:type="default" r:id="rId35"/>
          <w:footerReference w:type="even" r:id="rId36"/>
          <w:footerReference w:type="default" r:id="rId37"/>
          <w:headerReference w:type="first" r:id="rId38"/>
          <w:footerReference w:type="first" r:id="rId39"/>
          <w:type w:val="continuous"/>
          <w:pgSz w:w="16840" w:h="11900" w:orient="landscape" w:code="9"/>
          <w:pgMar w:top="1440" w:right="1440" w:bottom="1440" w:left="1440" w:header="720" w:footer="340" w:gutter="0"/>
          <w:cols w:space="720"/>
          <w:docGrid w:linePitch="360"/>
        </w:sectPr>
      </w:pPr>
      <w:r w:rsidRPr="0086564D">
        <w:rPr>
          <w:rFonts w:ascii="Arial" w:eastAsiaTheme="majorEastAsia" w:hAnsi="Arial" w:cs="Arial"/>
          <w:i/>
          <w:iCs/>
          <w:color w:val="006666"/>
          <w:sz w:val="18"/>
          <w:szCs w:val="18"/>
        </w:rPr>
        <w:t>Source:</w:t>
      </w:r>
      <w:r w:rsidR="00BF0542" w:rsidRPr="0086564D">
        <w:rPr>
          <w:rFonts w:ascii="Arial" w:eastAsiaTheme="majorEastAsia" w:hAnsi="Arial" w:cs="Arial"/>
          <w:i/>
          <w:iCs/>
          <w:color w:val="006666"/>
          <w:sz w:val="18"/>
          <w:szCs w:val="18"/>
        </w:rPr>
        <w:t xml:space="preserve"> IMF, </w:t>
      </w:r>
      <w:hyperlink r:id="rId40" w:history="1">
        <w:r w:rsidR="00BF0542" w:rsidRPr="0086564D">
          <w:rPr>
            <w:rStyle w:val="Hyperlink"/>
            <w:rFonts w:ascii="Arial" w:eastAsiaTheme="majorEastAsia" w:hAnsi="Arial" w:cs="Arial"/>
            <w:i/>
            <w:iCs/>
            <w:sz w:val="18"/>
            <w:szCs w:val="18"/>
          </w:rPr>
          <w:t>World Economic Outlook Database</w:t>
        </w:r>
      </w:hyperlink>
      <w:r w:rsidR="00BF0542" w:rsidRPr="0086564D">
        <w:rPr>
          <w:rFonts w:ascii="Arial" w:eastAsiaTheme="majorEastAsia" w:hAnsi="Arial" w:cs="Arial"/>
          <w:i/>
          <w:iCs/>
          <w:color w:val="006666"/>
          <w:sz w:val="18"/>
          <w:szCs w:val="18"/>
        </w:rPr>
        <w:t>, October 2022 and</w:t>
      </w:r>
      <w:r w:rsidRPr="0086564D">
        <w:rPr>
          <w:rFonts w:ascii="Arial" w:eastAsiaTheme="majorEastAsia" w:hAnsi="Arial" w:cs="Arial"/>
          <w:i/>
          <w:iCs/>
          <w:color w:val="006666"/>
          <w:sz w:val="18"/>
          <w:szCs w:val="18"/>
        </w:rPr>
        <w:t xml:space="preserve"> </w:t>
      </w:r>
      <w:r w:rsidR="0060313C" w:rsidRPr="0086564D">
        <w:rPr>
          <w:rFonts w:ascii="Arial" w:eastAsiaTheme="majorEastAsia" w:hAnsi="Arial" w:cs="Arial"/>
          <w:i/>
          <w:iCs/>
          <w:color w:val="006666"/>
          <w:sz w:val="18"/>
          <w:szCs w:val="18"/>
        </w:rPr>
        <w:t>World Bank</w:t>
      </w:r>
      <w:r w:rsidRPr="0086564D">
        <w:rPr>
          <w:rFonts w:ascii="Arial" w:eastAsiaTheme="majorEastAsia" w:hAnsi="Arial" w:cs="Arial"/>
          <w:i/>
          <w:iCs/>
          <w:color w:val="006666"/>
          <w:sz w:val="18"/>
          <w:szCs w:val="18"/>
        </w:rPr>
        <w:t xml:space="preserve">, </w:t>
      </w:r>
      <w:hyperlink r:id="rId41" w:history="1">
        <w:r w:rsidR="0060313C" w:rsidRPr="0086564D">
          <w:rPr>
            <w:rStyle w:val="Hyperlink"/>
            <w:rFonts w:ascii="Arial" w:eastAsiaTheme="majorEastAsia" w:hAnsi="Arial" w:cs="Arial"/>
            <w:i/>
            <w:iCs/>
            <w:sz w:val="18"/>
            <w:szCs w:val="18"/>
          </w:rPr>
          <w:t>The</w:t>
        </w:r>
      </w:hyperlink>
      <w:r w:rsidR="0060313C" w:rsidRPr="0086564D">
        <w:rPr>
          <w:rStyle w:val="Hyperlink"/>
          <w:rFonts w:ascii="Arial" w:eastAsiaTheme="majorEastAsia" w:hAnsi="Arial" w:cs="Arial"/>
          <w:i/>
          <w:iCs/>
          <w:sz w:val="18"/>
          <w:szCs w:val="18"/>
        </w:rPr>
        <w:t xml:space="preserve"> Ocean Economy in Mauritius. Making it happen, making it last</w:t>
      </w:r>
      <w:r w:rsidRPr="0086564D">
        <w:rPr>
          <w:rFonts w:ascii="Arial" w:eastAsiaTheme="majorEastAsia" w:hAnsi="Arial" w:cs="Arial"/>
          <w:i/>
          <w:iCs/>
          <w:color w:val="006666"/>
          <w:sz w:val="18"/>
          <w:szCs w:val="18"/>
        </w:rPr>
        <w:t>, 20</w:t>
      </w:r>
      <w:r w:rsidR="0060313C" w:rsidRPr="0086564D">
        <w:rPr>
          <w:rFonts w:ascii="Arial" w:eastAsiaTheme="majorEastAsia" w:hAnsi="Arial" w:cs="Arial"/>
          <w:i/>
          <w:iCs/>
          <w:color w:val="006666"/>
          <w:sz w:val="18"/>
          <w:szCs w:val="18"/>
        </w:rPr>
        <w:t>17</w:t>
      </w:r>
    </w:p>
    <w:p w14:paraId="3F82BF4F" w14:textId="287CAC7E" w:rsidR="0038036D" w:rsidRDefault="00FF4BE5" w:rsidP="001909AA">
      <w:pPr>
        <w:rPr>
          <w:rFonts w:asciiTheme="minorBidi" w:eastAsia="Times New Roman" w:hAnsiTheme="minorBidi"/>
          <w:b/>
          <w:bCs/>
          <w:noProof/>
          <w:color w:val="006666"/>
          <w:sz w:val="32"/>
          <w:szCs w:val="32"/>
          <w:lang w:val="pt-PT"/>
        </w:rPr>
      </w:pPr>
      <w:r>
        <w:rPr>
          <w:noProof/>
        </w:rPr>
        <w:lastRenderedPageBreak/>
        <w:drawing>
          <wp:anchor distT="0" distB="0" distL="114300" distR="114300" simplePos="0" relativeHeight="251656704" behindDoc="0" locked="0" layoutInCell="1" allowOverlap="1" wp14:anchorId="0C84CA75" wp14:editId="3C5F2CA0">
            <wp:simplePos x="0" y="0"/>
            <wp:positionH relativeFrom="column">
              <wp:posOffset>4587240</wp:posOffset>
            </wp:positionH>
            <wp:positionV relativeFrom="paragraph">
              <wp:posOffset>0</wp:posOffset>
            </wp:positionV>
            <wp:extent cx="1814195" cy="16998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4195" cy="1699895"/>
                    </a:xfrm>
                    <a:prstGeom prst="rect">
                      <a:avLst/>
                    </a:prstGeom>
                  </pic:spPr>
                </pic:pic>
              </a:graphicData>
            </a:graphic>
          </wp:anchor>
        </w:drawing>
      </w:r>
      <w:r w:rsidR="00CC46EF" w:rsidRPr="007E42ED">
        <w:rPr>
          <w:rFonts w:asciiTheme="minorBidi" w:eastAsia="Times New Roman" w:hAnsiTheme="minorBidi"/>
          <w:b/>
          <w:bCs/>
          <w:noProof/>
          <w:color w:val="006666"/>
          <w:sz w:val="32"/>
          <w:szCs w:val="32"/>
          <w:lang w:val="pt-PT"/>
        </w:rPr>
        <mc:AlternateContent>
          <mc:Choice Requires="wps">
            <w:drawing>
              <wp:anchor distT="45720" distB="45720" distL="182880" distR="182880" simplePos="0" relativeHeight="251653632" behindDoc="0" locked="0" layoutInCell="1" allowOverlap="0" wp14:anchorId="4B047F9C" wp14:editId="4AFA3385">
                <wp:simplePos x="0" y="0"/>
                <wp:positionH relativeFrom="page">
                  <wp:align>left</wp:align>
                </wp:positionH>
                <wp:positionV relativeFrom="paragraph">
                  <wp:posOffset>-915035</wp:posOffset>
                </wp:positionV>
                <wp:extent cx="7551420" cy="673735"/>
                <wp:effectExtent l="0" t="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673735"/>
                        </a:xfrm>
                        <a:prstGeom prst="rect">
                          <a:avLst/>
                        </a:prstGeom>
                        <a:solidFill>
                          <a:srgbClr val="006666"/>
                        </a:solidFill>
                        <a:ln w="76200" cmpd="dbl">
                          <a:noFill/>
                          <a:miter lim="800000"/>
                          <a:headEnd/>
                          <a:tailEnd/>
                        </a:ln>
                      </wps:spPr>
                      <wps:txbx>
                        <w:txbxContent>
                          <w:p w14:paraId="515E3A31" w14:textId="56ED3086" w:rsidR="00951559" w:rsidRDefault="00951559" w:rsidP="00951559">
                            <w:pPr>
                              <w:jc w:val="center"/>
                              <w:rPr>
                                <w:i/>
                                <w:iCs/>
                                <w:caps/>
                                <w:color w:val="FFFFFF" w:themeColor="background1"/>
                                <w:sz w:val="40"/>
                                <w:szCs w:val="36"/>
                              </w:rPr>
                            </w:pPr>
                            <w:r>
                              <w:rPr>
                                <w:i/>
                                <w:iCs/>
                                <w:caps/>
                                <w:color w:val="FFFFFF" w:themeColor="background1"/>
                                <w:sz w:val="40"/>
                                <w:szCs w:val="40"/>
                              </w:rPr>
                              <w:t>2 questions to…</w:t>
                            </w:r>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xmlns:oel="http://schemas.microsoft.com/office/2019/extlst">
            <w:pict>
              <v:rect w14:anchorId="4B047F9C" id="Rectangle 13" o:spid="_x0000_s1034" style="position:absolute;margin-left:0;margin-top:-72.05pt;width:594.6pt;height:53.05pt;z-index:251653632;visibility:visible;mso-wrap-style:square;mso-width-percent:0;mso-height-percent:200;mso-wrap-distance-left:14.4pt;mso-wrap-distance-top:3.6pt;mso-wrap-distance-right:14.4pt;mso-wrap-distance-bottom:3.6pt;mso-position-horizontal:left;mso-position-horizontal-relative:page;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" o:allowoverlap="f" fillcolor="#066" stroked="f" strokeweight="6pt">
                <v:stroke linestyle="thinThin"/>
                <v:textbox style="mso-fit-shape-to-text:t" inset="14.4pt,14.4pt,14.4pt,14.4pt">
                  <w:txbxContent>
                    <w:p w14:paraId="515E3A31" w14:textId="56ED3086" w:rsidR="00951559" w:rsidRDefault="00951559" w:rsidP="00951559">
                      <w:pPr>
                        <w:jc w:val="center"/>
                        <w:rPr>
                          <w:i/>
                          <w:iCs/>
                          <w:caps/>
                          <w:color w:val="FFFFFF" w:themeColor="background1"/>
                          <w:sz w:val="40"/>
                          <w:szCs w:val="36"/>
                        </w:rPr>
                      </w:pPr>
                      <w:r>
                        <w:rPr>
                          <w:i/>
                          <w:iCs/>
                          <w:caps/>
                          <w:color w:val="FFFFFF" w:themeColor="background1"/>
                          <w:sz w:val="40"/>
                          <w:szCs w:val="40"/>
                        </w:rPr>
                        <w:t>2 questions to…</w:t>
                      </w:r>
                    </w:p>
                  </w:txbxContent>
                </v:textbox>
                <w10:wrap anchorx="page"/>
              </v:rect>
            </w:pict>
          </mc:Fallback>
        </mc:AlternateContent>
      </w:r>
      <w:r w:rsidR="007E42ED" w:rsidRPr="007E42ED">
        <w:rPr>
          <w:rFonts w:asciiTheme="minorBidi" w:eastAsia="Times New Roman" w:hAnsiTheme="minorBidi"/>
          <w:b/>
          <w:bCs/>
          <w:noProof/>
          <w:color w:val="006666"/>
          <w:sz w:val="32"/>
          <w:szCs w:val="32"/>
          <w:lang w:val="pt-PT"/>
        </w:rPr>
        <w:t>Tony Muhumuza, PhD</w:t>
      </w:r>
    </w:p>
    <w:p w14:paraId="45AE9991" w14:textId="51F22F25" w:rsidR="00A639BC" w:rsidRDefault="007E42ED" w:rsidP="001909AA">
      <w:pPr>
        <w:rPr>
          <w:rFonts w:asciiTheme="minorBidi" w:eastAsia="Times New Roman" w:hAnsiTheme="minorBidi"/>
          <w:b/>
          <w:bCs/>
          <w:noProof/>
          <w:color w:val="006666"/>
          <w:sz w:val="32"/>
          <w:szCs w:val="32"/>
          <w:lang w:val="pt-PT"/>
        </w:rPr>
      </w:pPr>
      <w:r w:rsidRPr="007E42ED">
        <w:rPr>
          <w:rFonts w:asciiTheme="minorBidi" w:eastAsia="Times New Roman" w:hAnsiTheme="minorBidi"/>
          <w:b/>
          <w:bCs/>
          <w:noProof/>
          <w:color w:val="006666"/>
          <w:sz w:val="32"/>
          <w:szCs w:val="32"/>
          <w:lang w:val="pt-PT"/>
        </w:rPr>
        <w:t>UNDP Mauritius and Seychelles Senior Economist</w:t>
      </w:r>
    </w:p>
    <w:p w14:paraId="53078252" w14:textId="201D4D2A" w:rsidR="00FF4BE5" w:rsidRDefault="00FF4BE5" w:rsidP="001909AA">
      <w:pPr>
        <w:rPr>
          <w:rFonts w:asciiTheme="minorBidi" w:eastAsia="Times New Roman" w:hAnsiTheme="minorBidi"/>
          <w:b/>
          <w:bCs/>
          <w:noProof/>
          <w:color w:val="006666"/>
          <w:sz w:val="32"/>
          <w:szCs w:val="32"/>
          <w:lang w:val="pt-PT"/>
        </w:rPr>
      </w:pPr>
    </w:p>
    <w:p w14:paraId="1F25F8A3" w14:textId="77777777" w:rsidR="00FF4BE5" w:rsidRDefault="00FF4BE5" w:rsidP="001909AA">
      <w:pPr>
        <w:rPr>
          <w:rFonts w:asciiTheme="minorBidi" w:eastAsia="Times New Roman" w:hAnsiTheme="minorBidi"/>
          <w:b/>
          <w:bCs/>
          <w:noProof/>
          <w:color w:val="006666"/>
          <w:sz w:val="32"/>
          <w:szCs w:val="32"/>
          <w:lang w:val="pt-PT"/>
        </w:rPr>
      </w:pPr>
    </w:p>
    <w:p w14:paraId="58BB0416" w14:textId="77777777" w:rsidR="00AC40EB" w:rsidRDefault="00AC40EB" w:rsidP="00FF4BE5">
      <w:pPr>
        <w:rPr>
          <w:rFonts w:asciiTheme="minorBidi" w:eastAsia="Times New Roman" w:hAnsiTheme="minorBidi"/>
          <w:b/>
          <w:bCs/>
          <w:noProof/>
          <w:color w:val="006666"/>
          <w:sz w:val="32"/>
          <w:szCs w:val="32"/>
          <w:lang w:val="pt-PT"/>
        </w:rPr>
      </w:pPr>
    </w:p>
    <w:p w14:paraId="0E639147" w14:textId="77777777" w:rsidR="00AC40EB" w:rsidRDefault="00AC40EB" w:rsidP="00FF4BE5">
      <w:pPr>
        <w:rPr>
          <w:rFonts w:asciiTheme="minorBidi" w:eastAsia="Times New Roman" w:hAnsiTheme="minorBidi"/>
          <w:b/>
          <w:bCs/>
          <w:noProof/>
          <w:color w:val="006666"/>
          <w:sz w:val="32"/>
          <w:szCs w:val="32"/>
          <w:lang w:val="pt-PT"/>
        </w:rPr>
      </w:pPr>
    </w:p>
    <w:p w14:paraId="68AF85FA" w14:textId="1C7B1293" w:rsidR="00AC40EB" w:rsidRDefault="00AC40EB" w:rsidP="00FF4BE5">
      <w:pPr>
        <w:rPr>
          <w:rFonts w:asciiTheme="minorBidi" w:eastAsia="Times New Roman" w:hAnsiTheme="minorBidi"/>
          <w:b/>
          <w:bCs/>
          <w:noProof/>
          <w:color w:val="006666"/>
          <w:sz w:val="32"/>
          <w:szCs w:val="32"/>
          <w:lang w:val="pt-PT"/>
        </w:rPr>
      </w:pPr>
      <w:r>
        <w:rPr>
          <w:rFonts w:asciiTheme="minorBidi" w:eastAsia="Times New Roman" w:hAnsiTheme="minorBidi"/>
          <w:noProof/>
          <w:color w:val="006666"/>
          <w:sz w:val="28"/>
          <w:szCs w:val="28"/>
        </w:rPr>
        <w:drawing>
          <wp:anchor distT="0" distB="0" distL="114300" distR="114300" simplePos="0" relativeHeight="251659776" behindDoc="0" locked="0" layoutInCell="1" allowOverlap="1" wp14:anchorId="04FF4BA6" wp14:editId="090FF331">
            <wp:simplePos x="0" y="0"/>
            <wp:positionH relativeFrom="column">
              <wp:posOffset>-129540</wp:posOffset>
            </wp:positionH>
            <wp:positionV relativeFrom="paragraph">
              <wp:posOffset>99060</wp:posOffset>
            </wp:positionV>
            <wp:extent cx="1823041" cy="1800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a:stretch>
                      <a:fillRect/>
                    </a:stretch>
                  </pic:blipFill>
                  <pic:spPr>
                    <a:xfrm>
                      <a:off x="0" y="0"/>
                      <a:ext cx="1823041" cy="1800000"/>
                    </a:xfrm>
                    <a:prstGeom prst="rect">
                      <a:avLst/>
                    </a:prstGeom>
                  </pic:spPr>
                </pic:pic>
              </a:graphicData>
            </a:graphic>
          </wp:anchor>
        </w:drawing>
      </w:r>
    </w:p>
    <w:p w14:paraId="0030BB6A" w14:textId="72751659" w:rsidR="00FF4BE5" w:rsidRDefault="00FF4BE5" w:rsidP="00FF4BE5">
      <w:pPr>
        <w:rPr>
          <w:rFonts w:asciiTheme="minorBidi" w:eastAsia="Times New Roman" w:hAnsiTheme="minorBidi"/>
          <w:b/>
          <w:bCs/>
          <w:noProof/>
          <w:color w:val="006666"/>
          <w:sz w:val="32"/>
          <w:szCs w:val="32"/>
          <w:lang w:val="pt-PT"/>
        </w:rPr>
      </w:pPr>
      <w:r>
        <w:rPr>
          <w:rFonts w:asciiTheme="minorBidi" w:eastAsia="Times New Roman" w:hAnsiTheme="minorBidi"/>
          <w:b/>
          <w:bCs/>
          <w:noProof/>
          <w:color w:val="006666"/>
          <w:sz w:val="32"/>
          <w:szCs w:val="32"/>
          <w:lang w:val="pt-PT"/>
        </w:rPr>
        <w:t>Bineswaree (Aruna) Bolaky</w:t>
      </w:r>
    </w:p>
    <w:p w14:paraId="26123520" w14:textId="0B0A12AC" w:rsidR="00FF4BE5" w:rsidRPr="00DA088E" w:rsidRDefault="00FF4BE5" w:rsidP="00FF4BE5">
      <w:pPr>
        <w:rPr>
          <w:rFonts w:asciiTheme="minorBidi" w:eastAsia="Times New Roman" w:hAnsiTheme="minorBidi"/>
          <w:color w:val="006666"/>
          <w:lang w:val="pt-PT"/>
        </w:rPr>
      </w:pPr>
      <w:r>
        <w:rPr>
          <w:rFonts w:asciiTheme="minorBidi" w:eastAsia="Times New Roman" w:hAnsiTheme="minorBidi"/>
          <w:b/>
          <w:bCs/>
          <w:noProof/>
          <w:color w:val="006666"/>
          <w:sz w:val="32"/>
          <w:szCs w:val="32"/>
          <w:lang w:val="pt-PT"/>
        </w:rPr>
        <w:t>UN Economic Commission for Africa Subregional office for Southern Africa, Economic Affairs officer</w:t>
      </w:r>
    </w:p>
    <w:p w14:paraId="5F1AA2F3" w14:textId="74AE8A14" w:rsidR="00A639BC" w:rsidRDefault="00A639BC" w:rsidP="001909AA">
      <w:pPr>
        <w:rPr>
          <w:rFonts w:asciiTheme="minorBidi" w:eastAsia="Times New Roman" w:hAnsiTheme="minorBidi"/>
          <w:color w:val="006666"/>
          <w:sz w:val="28"/>
          <w:szCs w:val="28"/>
          <w:lang w:val="pt-PT"/>
        </w:rPr>
      </w:pPr>
    </w:p>
    <w:p w14:paraId="3D12A994" w14:textId="4CF8B0C6" w:rsidR="0054356E" w:rsidRPr="007E42ED" w:rsidRDefault="0054356E" w:rsidP="001909AA">
      <w:pPr>
        <w:rPr>
          <w:rFonts w:asciiTheme="minorBidi" w:eastAsia="Times New Roman" w:hAnsiTheme="minorBidi"/>
          <w:color w:val="006666"/>
          <w:sz w:val="28"/>
          <w:szCs w:val="28"/>
          <w:lang w:val="pt-PT"/>
        </w:rPr>
      </w:pPr>
    </w:p>
    <w:p w14:paraId="688F8AE5" w14:textId="1A0A4B9D" w:rsidR="0054356E" w:rsidRDefault="0054356E" w:rsidP="001909AA">
      <w:pPr>
        <w:rPr>
          <w:rFonts w:asciiTheme="minorBidi" w:eastAsia="Times New Roman" w:hAnsiTheme="minorBidi"/>
          <w:color w:val="006666"/>
          <w:sz w:val="28"/>
          <w:szCs w:val="28"/>
        </w:rPr>
      </w:pPr>
    </w:p>
    <w:p w14:paraId="180380EE" w14:textId="5975FB75" w:rsidR="00FF4BE5" w:rsidRDefault="00FF4BE5" w:rsidP="001909AA">
      <w:pPr>
        <w:rPr>
          <w:rFonts w:asciiTheme="minorBidi" w:eastAsia="Times New Roman" w:hAnsiTheme="minorBidi"/>
          <w:color w:val="006666"/>
          <w:sz w:val="28"/>
          <w:szCs w:val="28"/>
        </w:rPr>
      </w:pPr>
    </w:p>
    <w:p w14:paraId="338E0214" w14:textId="718BF737" w:rsidR="00CE1F44" w:rsidRDefault="00CE1F44" w:rsidP="00CE1F44">
      <w:pPr>
        <w:rPr>
          <w:rFonts w:asciiTheme="minorBidi" w:eastAsia="Times New Roman" w:hAnsiTheme="minorBidi"/>
          <w:color w:val="006666"/>
          <w:sz w:val="28"/>
          <w:szCs w:val="28"/>
        </w:rPr>
      </w:pPr>
    </w:p>
    <w:p w14:paraId="69F27C40" w14:textId="7D34EF82" w:rsidR="00CE1F44" w:rsidRPr="009D5747" w:rsidRDefault="00F277A2" w:rsidP="00CE1F44">
      <w:pPr>
        <w:pStyle w:val="CommentText"/>
        <w:jc w:val="both"/>
        <w:rPr>
          <w:rFonts w:asciiTheme="minorBidi" w:eastAsia="Times New Roman" w:hAnsiTheme="minorBidi"/>
          <w:color w:val="006666"/>
          <w:sz w:val="24"/>
          <w:szCs w:val="24"/>
        </w:rPr>
      </w:pPr>
      <w:bookmarkStart w:id="1" w:name="_Hlk62805439"/>
      <w:r>
        <w:rPr>
          <w:rFonts w:asciiTheme="minorBidi" w:eastAsia="Times New Roman" w:hAnsiTheme="minorBidi"/>
          <w:color w:val="006666"/>
          <w:sz w:val="24"/>
          <w:szCs w:val="24"/>
        </w:rPr>
        <w:t>W</w:t>
      </w:r>
      <w:r w:rsidR="004F6894">
        <w:rPr>
          <w:rFonts w:asciiTheme="minorBidi" w:eastAsia="Times New Roman" w:hAnsiTheme="minorBidi"/>
          <w:color w:val="006666"/>
          <w:sz w:val="24"/>
          <w:szCs w:val="24"/>
        </w:rPr>
        <w:t>h</w:t>
      </w:r>
      <w:r>
        <w:rPr>
          <w:rFonts w:asciiTheme="minorBidi" w:eastAsia="Times New Roman" w:hAnsiTheme="minorBidi"/>
          <w:color w:val="006666"/>
          <w:sz w:val="24"/>
          <w:szCs w:val="24"/>
        </w:rPr>
        <w:t>at</w:t>
      </w:r>
      <w:r w:rsidR="004F6894">
        <w:rPr>
          <w:rFonts w:asciiTheme="minorBidi" w:eastAsia="Times New Roman" w:hAnsiTheme="minorBidi"/>
          <w:color w:val="006666"/>
          <w:sz w:val="24"/>
          <w:szCs w:val="24"/>
        </w:rPr>
        <w:t xml:space="preserve"> </w:t>
      </w:r>
      <w:r w:rsidR="007E42ED">
        <w:rPr>
          <w:rFonts w:asciiTheme="minorBidi" w:eastAsia="Times New Roman" w:hAnsiTheme="minorBidi"/>
          <w:color w:val="006666"/>
          <w:sz w:val="24"/>
          <w:szCs w:val="24"/>
        </w:rPr>
        <w:t>are the emerging risks of the lat</w:t>
      </w:r>
      <w:r w:rsidR="00165441">
        <w:rPr>
          <w:rFonts w:asciiTheme="minorBidi" w:eastAsia="Times New Roman" w:hAnsiTheme="minorBidi"/>
          <w:color w:val="006666"/>
          <w:sz w:val="24"/>
          <w:szCs w:val="24"/>
        </w:rPr>
        <w:t>est</w:t>
      </w:r>
      <w:r w:rsidR="007E42ED">
        <w:rPr>
          <w:rFonts w:asciiTheme="minorBidi" w:eastAsia="Times New Roman" w:hAnsiTheme="minorBidi"/>
          <w:color w:val="006666"/>
          <w:sz w:val="24"/>
          <w:szCs w:val="24"/>
        </w:rPr>
        <w:t xml:space="preserve"> developments in the global economic landscape for Mauritius’ economy</w:t>
      </w:r>
      <w:r w:rsidR="00CE1F44" w:rsidRPr="009D5747">
        <w:rPr>
          <w:rFonts w:asciiTheme="minorBidi" w:eastAsia="Times New Roman" w:hAnsiTheme="minorBidi"/>
          <w:color w:val="006666"/>
          <w:sz w:val="24"/>
          <w:szCs w:val="24"/>
        </w:rPr>
        <w:t>?</w:t>
      </w:r>
    </w:p>
    <w:bookmarkEnd w:id="1"/>
    <w:p w14:paraId="2D8C4629" w14:textId="75D984E6" w:rsidR="00FF4BE5" w:rsidRPr="005B47F4" w:rsidRDefault="00AC40EB" w:rsidP="005B47F4">
      <w:pPr>
        <w:pStyle w:val="NormalWeb"/>
        <w:shd w:val="clear" w:color="auto" w:fill="FFFFFF"/>
        <w:jc w:val="both"/>
        <w:rPr>
          <w:rFonts w:ascii="Arial" w:eastAsia="Microsoft YaHei" w:hAnsi="Arial" w:cs="Arial"/>
          <w:sz w:val="22"/>
          <w:szCs w:val="22"/>
          <w:lang w:val="en-US"/>
        </w:rPr>
      </w:pPr>
      <w:r w:rsidRPr="005B47F4">
        <w:rPr>
          <w:rFonts w:ascii="Arial" w:eastAsia="Microsoft YaHei" w:hAnsi="Arial" w:cs="Arial"/>
          <w:b/>
          <w:bCs/>
          <w:sz w:val="22"/>
          <w:szCs w:val="22"/>
          <w:lang w:val="en-US"/>
        </w:rPr>
        <w:t>Tony Muhumuza</w:t>
      </w:r>
      <w:r w:rsidRPr="005B47F4">
        <w:rPr>
          <w:rFonts w:ascii="Arial" w:eastAsia="Microsoft YaHei" w:hAnsi="Arial" w:cs="Arial"/>
          <w:sz w:val="22"/>
          <w:szCs w:val="22"/>
          <w:lang w:val="en-US"/>
        </w:rPr>
        <w:t xml:space="preserve">: </w:t>
      </w:r>
      <w:r w:rsidR="00FF4BE5" w:rsidRPr="005B47F4">
        <w:rPr>
          <w:rFonts w:ascii="Arial" w:eastAsia="Microsoft YaHei" w:hAnsi="Arial" w:cs="Arial"/>
          <w:sz w:val="22"/>
          <w:szCs w:val="22"/>
          <w:lang w:val="en-US"/>
        </w:rPr>
        <w:t xml:space="preserve">The conflict coupled with the supply and demand imbalances that were caused by the COVID-19 are the main underlying sources of broader price pressures felt globally. In September 2022, the Central Bank of Mauritius raised the Key repo rate by 75 basis points in effort to control the rising inflation. The repo rate is the rate at which commercial banks borrow money from the central bank. Until inflation is contained, the government may continue to tighten monetary policy. Persistently high inflation could impact dampen living standards, through erosion of purchasing power for most households. Note, according to the national budget survey, that Mauritian households spend on average 75% of expenditure on food products, whose prices have risen tremendously. </w:t>
      </w:r>
    </w:p>
    <w:p w14:paraId="796C671C" w14:textId="34CC5ADD" w:rsidR="00FF4BE5" w:rsidRPr="005B47F4" w:rsidRDefault="00FF4BE5" w:rsidP="005B47F4">
      <w:pPr>
        <w:pStyle w:val="NormalWeb"/>
        <w:shd w:val="clear" w:color="auto" w:fill="FFFFFF"/>
        <w:jc w:val="both"/>
        <w:rPr>
          <w:rFonts w:ascii="Arial" w:eastAsia="Microsoft YaHei" w:hAnsi="Arial" w:cs="Arial"/>
          <w:sz w:val="22"/>
          <w:szCs w:val="22"/>
          <w:lang w:val="en-US"/>
        </w:rPr>
      </w:pPr>
      <w:r w:rsidRPr="005B47F4">
        <w:rPr>
          <w:rFonts w:ascii="Arial" w:eastAsia="Microsoft YaHei" w:hAnsi="Arial" w:cs="Arial"/>
          <w:sz w:val="22"/>
          <w:szCs w:val="22"/>
          <w:lang w:val="en-US"/>
        </w:rPr>
        <w:t xml:space="preserve">The US Government’s plan of continued tightening of monetary policy in attempt to control inflation will implies that the value of the Mauritian Rupee could drop further and strain the central bank intervention in the national currency market. Overall, while the Government anticipates growth in 2022 at 7.4 percent, within the projected range of 7-8 percent, economic activity could remain depressed through next year, as the ongoing geopolitical tensions and persistent supply chain disruptions continue to impact on global economic activity. </w:t>
      </w:r>
    </w:p>
    <w:p w14:paraId="4FD3ACA6" w14:textId="77777777" w:rsidR="00AC40EB" w:rsidRPr="005B47F4" w:rsidRDefault="00AC40EB" w:rsidP="005B47F4">
      <w:pPr>
        <w:pStyle w:val="NormalWeb"/>
        <w:shd w:val="clear" w:color="auto" w:fill="FFFFFF"/>
        <w:jc w:val="both"/>
        <w:rPr>
          <w:rFonts w:ascii="Arial" w:hAnsi="Arial" w:cs="Arial"/>
          <w:sz w:val="22"/>
          <w:szCs w:val="22"/>
        </w:rPr>
      </w:pPr>
      <w:proofErr w:type="spellStart"/>
      <w:r w:rsidRPr="005B47F4">
        <w:rPr>
          <w:rFonts w:ascii="Arial" w:eastAsia="Microsoft YaHei" w:hAnsi="Arial" w:cs="Arial"/>
          <w:b/>
          <w:bCs/>
          <w:sz w:val="22"/>
          <w:szCs w:val="22"/>
          <w:lang w:val="en-US"/>
        </w:rPr>
        <w:t>Aruna</w:t>
      </w:r>
      <w:proofErr w:type="spellEnd"/>
      <w:r w:rsidRPr="005B47F4">
        <w:rPr>
          <w:rFonts w:ascii="Arial" w:eastAsia="Microsoft YaHei" w:hAnsi="Arial" w:cs="Arial"/>
          <w:b/>
          <w:bCs/>
          <w:sz w:val="22"/>
          <w:szCs w:val="22"/>
          <w:lang w:val="en-US"/>
        </w:rPr>
        <w:t xml:space="preserve"> Bolaky</w:t>
      </w:r>
      <w:r w:rsidRPr="005B47F4">
        <w:rPr>
          <w:rFonts w:ascii="Arial" w:eastAsia="Microsoft YaHei" w:hAnsi="Arial" w:cs="Arial"/>
          <w:sz w:val="22"/>
          <w:szCs w:val="22"/>
          <w:lang w:val="en-US"/>
        </w:rPr>
        <w:t xml:space="preserve">: </w:t>
      </w:r>
      <w:r w:rsidRPr="005B47F4">
        <w:rPr>
          <w:rFonts w:ascii="Arial" w:hAnsi="Arial" w:cs="Arial"/>
          <w:sz w:val="22"/>
          <w:szCs w:val="22"/>
        </w:rPr>
        <w:t xml:space="preserve">The outbreak of the Russia-Ukraine crisis is having an impact on food and fuel prices, inflation, the US </w:t>
      </w:r>
      <w:proofErr w:type="gramStart"/>
      <w:r w:rsidRPr="005B47F4">
        <w:rPr>
          <w:rFonts w:ascii="Arial" w:hAnsi="Arial" w:cs="Arial"/>
          <w:sz w:val="22"/>
          <w:szCs w:val="22"/>
        </w:rPr>
        <w:t>dollar</w:t>
      </w:r>
      <w:proofErr w:type="gramEnd"/>
      <w:r w:rsidRPr="005B47F4">
        <w:rPr>
          <w:rFonts w:ascii="Arial" w:hAnsi="Arial" w:cs="Arial"/>
          <w:sz w:val="22"/>
          <w:szCs w:val="22"/>
        </w:rPr>
        <w:t xml:space="preserve"> and global financial conditions--- all of which represent risks that can impact the Mauritian economy and its most vulnerable segments. Mauritius as a remote, albeit well connected island, that is characterized by an export-led, open economy is vulnerable to increases in fuel prices that drive up international transportation costs. Our colleagues at UNCTAD in June had flagged that shipping costs were rising due to the crisis. Rises in air and shipping freight place Mauritian export goods at a competitive disadvantage relative to its competitors that are more closely situated to Northern export markets. Losses in </w:t>
      </w:r>
      <w:r w:rsidRPr="005B47F4">
        <w:rPr>
          <w:rFonts w:ascii="Arial" w:hAnsi="Arial" w:cs="Arial"/>
          <w:sz w:val="22"/>
          <w:szCs w:val="22"/>
        </w:rPr>
        <w:lastRenderedPageBreak/>
        <w:t xml:space="preserve">export competitiveness due to increased transportation costs may be more than offset however by competitiveness gains due to a devaluing Rupee relative to the US dollar.  </w:t>
      </w:r>
    </w:p>
    <w:p w14:paraId="1EC6905A" w14:textId="7767451F" w:rsidR="00AC40EB" w:rsidRPr="005B47F4" w:rsidRDefault="00AC40EB" w:rsidP="005B47F4">
      <w:pPr>
        <w:pStyle w:val="NormalWeb"/>
        <w:shd w:val="clear" w:color="auto" w:fill="FFFFFF"/>
        <w:jc w:val="both"/>
        <w:rPr>
          <w:rFonts w:ascii="Arial" w:eastAsia="Microsoft YaHei" w:hAnsi="Arial" w:cs="Arial"/>
          <w:sz w:val="22"/>
          <w:szCs w:val="22"/>
          <w:lang w:val="en-US"/>
        </w:rPr>
      </w:pPr>
      <w:r w:rsidRPr="005B47F4">
        <w:rPr>
          <w:rFonts w:ascii="Arial" w:hAnsi="Arial" w:cs="Arial"/>
          <w:sz w:val="22"/>
          <w:szCs w:val="22"/>
        </w:rPr>
        <w:t>As a small island, Mauritius imports a lot of its foodstuffs and spikes in global food prices will further exacerbate vulnerability among the poorest segments of the population. A stronger US dollar adds to the increase in rupee denominated consumer prices, raises further the import bill and the cost of servicing external debt, adversely affecting national savings. The IMF in its latest Regional Economic Outlook of October 2022 predicts a growth of 6.1 per cent for Mauritius in 2022 (compared to 4 per cent in 2021) but with a higher inflation rate of 10.2 per cent in 2022 (compared to 4 per cent in 2021) and a continued current account deficit of 13 per cent of GDP. Crisis produces gains and losses. A stronger US dollar can stimulate export competitiveness but worsens imported inflation. Who gains and who loses will vary by economic sector and social group. The tourism sector has significantly picked up in 2022 after its Covid-induced crash in 2021 and will sustain economic recovery in 2022. The manufacturing sector remain at risk of supply disruptions. The Financial Services sector will suffer from the global adverse financial climate.</w:t>
      </w:r>
    </w:p>
    <w:p w14:paraId="00097E64" w14:textId="0A5C8C70" w:rsidR="00CE1F44" w:rsidRPr="009D5747" w:rsidRDefault="007E42ED" w:rsidP="00DA149E">
      <w:pPr>
        <w:rPr>
          <w:rFonts w:asciiTheme="minorBidi" w:eastAsia="Times New Roman" w:hAnsiTheme="minorBidi"/>
          <w:color w:val="006666"/>
        </w:rPr>
      </w:pPr>
      <w:r>
        <w:rPr>
          <w:rFonts w:asciiTheme="minorBidi" w:eastAsia="Times New Roman" w:hAnsiTheme="minorBidi"/>
          <w:color w:val="006666"/>
        </w:rPr>
        <w:t>Do you see upcoming opportunities beyond these risks, for the years to come</w:t>
      </w:r>
      <w:r w:rsidR="00CE1F44" w:rsidRPr="009D5747">
        <w:rPr>
          <w:rFonts w:asciiTheme="minorBidi" w:eastAsia="Times New Roman" w:hAnsiTheme="minorBidi"/>
          <w:color w:val="006666"/>
        </w:rPr>
        <w:t xml:space="preserve">? </w:t>
      </w:r>
    </w:p>
    <w:p w14:paraId="07427788" w14:textId="77777777" w:rsidR="00CE1F44" w:rsidRDefault="00CE1F44" w:rsidP="00CE1F44">
      <w:pPr>
        <w:jc w:val="both"/>
        <w:rPr>
          <w:rStyle w:val="normaltextrun"/>
          <w:rFonts w:asciiTheme="majorHAnsi" w:hAnsiTheme="majorHAnsi" w:cstheme="majorHAnsi"/>
        </w:rPr>
      </w:pPr>
    </w:p>
    <w:p w14:paraId="5E91B9CC" w14:textId="59211C7F" w:rsidR="00FF4BE5" w:rsidRPr="005B47F4" w:rsidRDefault="00AC40EB" w:rsidP="005B47F4">
      <w:pPr>
        <w:pStyle w:val="NormalWeb"/>
        <w:shd w:val="clear" w:color="auto" w:fill="FFFFFF"/>
        <w:spacing w:before="0" w:beforeAutospacing="0" w:after="0" w:afterAutospacing="0"/>
        <w:jc w:val="both"/>
        <w:rPr>
          <w:rFonts w:ascii="Arial" w:eastAsia="Microsoft YaHei" w:hAnsi="Arial" w:cs="Arial"/>
          <w:sz w:val="22"/>
          <w:szCs w:val="22"/>
          <w:lang w:val="en-US"/>
        </w:rPr>
      </w:pPr>
      <w:r w:rsidRPr="005B47F4">
        <w:rPr>
          <w:rFonts w:ascii="Arial" w:eastAsia="Microsoft YaHei" w:hAnsi="Arial" w:cs="Arial"/>
          <w:b/>
          <w:bCs/>
          <w:sz w:val="22"/>
          <w:szCs w:val="22"/>
          <w:lang w:val="en-US"/>
        </w:rPr>
        <w:t>Tony Muhumuza</w:t>
      </w:r>
      <w:r w:rsidRPr="005B47F4">
        <w:rPr>
          <w:rFonts w:ascii="Arial" w:eastAsia="Microsoft YaHei" w:hAnsi="Arial" w:cs="Arial"/>
          <w:sz w:val="22"/>
          <w:szCs w:val="22"/>
          <w:lang w:val="en-US"/>
        </w:rPr>
        <w:t xml:space="preserve">: </w:t>
      </w:r>
      <w:r w:rsidR="00FF4BE5" w:rsidRPr="005B47F4">
        <w:rPr>
          <w:rFonts w:ascii="Arial" w:eastAsia="Microsoft YaHei" w:hAnsi="Arial" w:cs="Arial"/>
          <w:sz w:val="22"/>
          <w:szCs w:val="22"/>
          <w:lang w:val="en-US"/>
        </w:rPr>
        <w:t xml:space="preserve">The tourism sector has been experiencing an impressive recovery since the start of the year. In addition to the lifting of travel restrictions that increased tourist number amidst the on-set of the Russia-Ukraine crisis, a weaker Mauritian Rupee, if sustained could drive up tourist numbers for the rest of the year.  Despite the global disruptions, hotels and other accommodation services are fully booked for the remaining part of the year, maintaining Mauritius as a popular destination. The country should consolidate the resilience of this sector to rebuild the economy.  However, any sustained slump of the euro and the Pound may negatively impact on the sector given that the Euro zone and UK markets command a significant share of tourism arrivals in the country. By implication, the sector will continue to be vulnerable to for as longs the global market dynamics remain uncertain. </w:t>
      </w:r>
    </w:p>
    <w:p w14:paraId="1791B8C7" w14:textId="77777777" w:rsidR="00FF4BE5" w:rsidRPr="005B47F4" w:rsidRDefault="00FF4BE5" w:rsidP="005B47F4">
      <w:pPr>
        <w:autoSpaceDE w:val="0"/>
        <w:autoSpaceDN w:val="0"/>
        <w:adjustRightInd w:val="0"/>
        <w:jc w:val="both"/>
        <w:rPr>
          <w:rFonts w:ascii="Arial" w:eastAsia="Microsoft YaHei" w:hAnsi="Arial" w:cs="Arial"/>
          <w:sz w:val="22"/>
          <w:szCs w:val="22"/>
          <w:lang w:eastAsia="en-MU"/>
        </w:rPr>
      </w:pPr>
    </w:p>
    <w:p w14:paraId="50F8D03A" w14:textId="664F22A7" w:rsidR="00DA149E" w:rsidRPr="005B47F4" w:rsidRDefault="00FF4BE5" w:rsidP="005B47F4">
      <w:pPr>
        <w:autoSpaceDE w:val="0"/>
        <w:autoSpaceDN w:val="0"/>
        <w:adjustRightInd w:val="0"/>
        <w:jc w:val="both"/>
        <w:rPr>
          <w:rFonts w:ascii="Arial" w:eastAsia="Microsoft YaHei" w:hAnsi="Arial" w:cs="Arial"/>
          <w:sz w:val="22"/>
          <w:szCs w:val="22"/>
          <w:lang w:eastAsia="en-MU"/>
        </w:rPr>
      </w:pPr>
      <w:r w:rsidRPr="005B47F4">
        <w:rPr>
          <w:rFonts w:ascii="Arial" w:eastAsia="Microsoft YaHei" w:hAnsi="Arial" w:cs="Arial"/>
          <w:sz w:val="22"/>
          <w:szCs w:val="22"/>
          <w:lang w:eastAsia="en-MU"/>
        </w:rPr>
        <w:t>Beside tourism, supply chain disruptions have awakened the discourse on how Mauritius can take advantage of the African Continental Free Trade Agreement by positioning itself as a regional platform for investment for Africa. The country should accelerate its suitability as a business destination to enrich its appeal to investors that are looking for launch-pad from which to conduct business within Africa.</w:t>
      </w:r>
    </w:p>
    <w:p w14:paraId="04F15DCD" w14:textId="3AA841FD" w:rsidR="00AC40EB" w:rsidRPr="005B47F4" w:rsidRDefault="00AC40EB" w:rsidP="005B47F4">
      <w:pPr>
        <w:autoSpaceDE w:val="0"/>
        <w:autoSpaceDN w:val="0"/>
        <w:adjustRightInd w:val="0"/>
        <w:jc w:val="both"/>
        <w:rPr>
          <w:rFonts w:ascii="Arial" w:eastAsia="Microsoft YaHei" w:hAnsi="Arial" w:cs="Arial"/>
          <w:sz w:val="22"/>
          <w:szCs w:val="22"/>
          <w:lang w:eastAsia="en-MU"/>
        </w:rPr>
      </w:pPr>
    </w:p>
    <w:p w14:paraId="63F84972" w14:textId="6793E22B" w:rsidR="00AC40EB" w:rsidRPr="005B47F4" w:rsidRDefault="00AC40EB" w:rsidP="005B47F4">
      <w:pPr>
        <w:jc w:val="both"/>
        <w:rPr>
          <w:rFonts w:asciiTheme="minorBidi" w:hAnsiTheme="minorBidi"/>
          <w:sz w:val="22"/>
          <w:szCs w:val="22"/>
        </w:rPr>
      </w:pPr>
      <w:proofErr w:type="spellStart"/>
      <w:r w:rsidRPr="005B47F4">
        <w:rPr>
          <w:rFonts w:ascii="Arial" w:eastAsia="Microsoft YaHei" w:hAnsi="Arial" w:cs="Arial"/>
          <w:b/>
          <w:bCs/>
          <w:sz w:val="22"/>
          <w:szCs w:val="22"/>
          <w:lang w:eastAsia="en-MU"/>
        </w:rPr>
        <w:t>Aruna</w:t>
      </w:r>
      <w:proofErr w:type="spellEnd"/>
      <w:r w:rsidRPr="005B47F4">
        <w:rPr>
          <w:rFonts w:ascii="Arial" w:eastAsia="Microsoft YaHei" w:hAnsi="Arial" w:cs="Arial"/>
          <w:b/>
          <w:bCs/>
          <w:sz w:val="22"/>
          <w:szCs w:val="22"/>
          <w:lang w:eastAsia="en-MU"/>
        </w:rPr>
        <w:t xml:space="preserve"> Bolaky</w:t>
      </w:r>
      <w:r w:rsidRPr="005B47F4">
        <w:rPr>
          <w:rFonts w:ascii="Arial" w:eastAsia="Microsoft YaHei" w:hAnsi="Arial" w:cs="Arial"/>
          <w:sz w:val="22"/>
          <w:szCs w:val="22"/>
          <w:lang w:eastAsia="en-MU"/>
        </w:rPr>
        <w:t xml:space="preserve">: </w:t>
      </w:r>
      <w:r w:rsidRPr="005B47F4">
        <w:rPr>
          <w:rFonts w:ascii="Arial" w:hAnsi="Arial" w:cs="Arial"/>
          <w:sz w:val="22"/>
          <w:szCs w:val="22"/>
        </w:rPr>
        <w:t xml:space="preserve">Every crisis is a wake-up call to address structural impediments to the economy. Mauritius has been a success story in terms of economic transformation driven by diversification. However, its current growth model has reached its limits. New sectors of growth </w:t>
      </w:r>
      <w:proofErr w:type="gramStart"/>
      <w:r w:rsidRPr="005B47F4">
        <w:rPr>
          <w:rFonts w:ascii="Arial" w:hAnsi="Arial" w:cs="Arial"/>
          <w:sz w:val="22"/>
          <w:szCs w:val="22"/>
        </w:rPr>
        <w:t>have to</w:t>
      </w:r>
      <w:proofErr w:type="gramEnd"/>
      <w:r w:rsidRPr="005B47F4">
        <w:rPr>
          <w:rFonts w:ascii="Arial" w:hAnsi="Arial" w:cs="Arial"/>
          <w:sz w:val="22"/>
          <w:szCs w:val="22"/>
        </w:rPr>
        <w:t xml:space="preserve"> be developed in new markets to generate, among others the resources needed to address looming challenges such as adapting to climate change while the transition to a Green and Blue Economy should accelerate. The United Nations Economic Commission for Africa has supported Mauritius to formulate its National African Continental Free Trade Area (</w:t>
      </w:r>
      <w:proofErr w:type="spellStart"/>
      <w:r w:rsidRPr="005B47F4">
        <w:rPr>
          <w:rFonts w:ascii="Arial" w:hAnsi="Arial" w:cs="Arial"/>
          <w:sz w:val="22"/>
          <w:szCs w:val="22"/>
        </w:rPr>
        <w:t>AfCFTA</w:t>
      </w:r>
      <w:proofErr w:type="spellEnd"/>
      <w:r w:rsidRPr="005B47F4">
        <w:rPr>
          <w:rFonts w:ascii="Arial" w:hAnsi="Arial" w:cs="Arial"/>
          <w:sz w:val="22"/>
          <w:szCs w:val="22"/>
        </w:rPr>
        <w:t xml:space="preserve">) Response Strategy which was validated in March 2022. The </w:t>
      </w:r>
      <w:proofErr w:type="spellStart"/>
      <w:r w:rsidRPr="005B47F4">
        <w:rPr>
          <w:rFonts w:ascii="Arial" w:hAnsi="Arial" w:cs="Arial"/>
          <w:sz w:val="22"/>
          <w:szCs w:val="22"/>
        </w:rPr>
        <w:t>AfCFTA</w:t>
      </w:r>
      <w:proofErr w:type="spellEnd"/>
      <w:r w:rsidRPr="005B47F4">
        <w:rPr>
          <w:rFonts w:ascii="Arial" w:hAnsi="Arial" w:cs="Arial"/>
          <w:sz w:val="22"/>
          <w:szCs w:val="22"/>
        </w:rPr>
        <w:t xml:space="preserve"> can provide an opportunity for Mauritius to strengthen export and economic diversification and for its businesses to integrate in emerging regional value chains on the continent (</w:t>
      </w:r>
      <w:proofErr w:type="gramStart"/>
      <w:r w:rsidRPr="005B47F4">
        <w:rPr>
          <w:rFonts w:ascii="Arial" w:hAnsi="Arial" w:cs="Arial"/>
          <w:sz w:val="22"/>
          <w:szCs w:val="22"/>
        </w:rPr>
        <w:t>e.g.</w:t>
      </w:r>
      <w:proofErr w:type="gramEnd"/>
      <w:r w:rsidRPr="005B47F4">
        <w:rPr>
          <w:rFonts w:ascii="Arial" w:hAnsi="Arial" w:cs="Arial"/>
          <w:sz w:val="22"/>
          <w:szCs w:val="22"/>
        </w:rPr>
        <w:t xml:space="preserve"> pharmaceuticals, </w:t>
      </w:r>
      <w:proofErr w:type="spellStart"/>
      <w:r w:rsidRPr="005B47F4">
        <w:rPr>
          <w:rFonts w:ascii="Arial" w:hAnsi="Arial" w:cs="Arial"/>
          <w:sz w:val="22"/>
          <w:szCs w:val="22"/>
        </w:rPr>
        <w:t>agro</w:t>
      </w:r>
      <w:proofErr w:type="spellEnd"/>
      <w:r w:rsidRPr="005B47F4">
        <w:rPr>
          <w:rFonts w:ascii="Arial" w:hAnsi="Arial" w:cs="Arial"/>
          <w:sz w:val="22"/>
          <w:szCs w:val="22"/>
        </w:rPr>
        <w:t xml:space="preserve">-industries </w:t>
      </w:r>
      <w:proofErr w:type="spellStart"/>
      <w:r w:rsidRPr="005B47F4">
        <w:rPr>
          <w:rFonts w:ascii="Arial" w:hAnsi="Arial" w:cs="Arial"/>
          <w:sz w:val="22"/>
          <w:szCs w:val="22"/>
        </w:rPr>
        <w:t>etc</w:t>
      </w:r>
      <w:proofErr w:type="spellEnd"/>
      <w:r w:rsidRPr="005B47F4">
        <w:rPr>
          <w:rFonts w:ascii="Arial" w:hAnsi="Arial" w:cs="Arial"/>
          <w:sz w:val="22"/>
          <w:szCs w:val="22"/>
        </w:rPr>
        <w:t>). Strengthened regional integration can also facilitate regional responses to international crises.</w:t>
      </w:r>
      <w:r w:rsidRPr="005B47F4">
        <w:rPr>
          <w:rFonts w:asciiTheme="minorBidi" w:hAnsiTheme="minorBidi"/>
          <w:sz w:val="22"/>
          <w:szCs w:val="22"/>
        </w:rPr>
        <w:t xml:space="preserve"> </w:t>
      </w:r>
    </w:p>
    <w:sectPr w:rsidR="00AC40EB" w:rsidRPr="005B47F4" w:rsidSect="00763895">
      <w:type w:val="continuous"/>
      <w:pgSz w:w="11900" w:h="16840" w:code="9"/>
      <w:pgMar w:top="1440" w:right="1440" w:bottom="1440" w:left="1440"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8AC46" w14:textId="77777777" w:rsidR="006013F6" w:rsidRDefault="006013F6" w:rsidP="004E0911">
      <w:r>
        <w:separator/>
      </w:r>
    </w:p>
  </w:endnote>
  <w:endnote w:type="continuationSeparator" w:id="0">
    <w:p w14:paraId="285699D4" w14:textId="77777777" w:rsidR="006013F6" w:rsidRDefault="006013F6" w:rsidP="004E0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DengXian Light">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7260" w14:textId="77777777" w:rsidR="003C5591" w:rsidRDefault="003C5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7D6" w14:textId="35C7F13B" w:rsidR="004E0911" w:rsidRPr="004E0911" w:rsidRDefault="003C5591">
    <w:pPr>
      <w:pStyle w:val="Footer"/>
      <w:jc w:val="right"/>
      <w:rPr>
        <w:rFonts w:ascii="Arial" w:hAnsi="Arial" w:cs="Arial"/>
      </w:rPr>
    </w:pPr>
    <w:r>
      <w:rPr>
        <w:rFonts w:ascii="Arial" w:hAnsi="Arial" w:cs="Arial"/>
        <w:noProof/>
        <w:color w:val="215868" w:themeColor="accent5" w:themeShade="80"/>
        <w:sz w:val="22"/>
        <w:szCs w:val="22"/>
        <w:lang w:eastAsia="zh-CN"/>
      </w:rPr>
      <w:drawing>
        <wp:anchor distT="0" distB="0" distL="114300" distR="114300" simplePos="0" relativeHeight="251660288" behindDoc="1" locked="0" layoutInCell="1" allowOverlap="1" wp14:anchorId="527E234C" wp14:editId="240FDE6B">
          <wp:simplePos x="0" y="0"/>
          <wp:positionH relativeFrom="column">
            <wp:posOffset>-723900</wp:posOffset>
          </wp:positionH>
          <wp:positionV relativeFrom="page">
            <wp:posOffset>7061200</wp:posOffset>
          </wp:positionV>
          <wp:extent cx="1075055" cy="247650"/>
          <wp:effectExtent l="0" t="0" r="0" b="0"/>
          <wp:wrapTight wrapText="bothSides">
            <wp:wrapPolygon edited="0">
              <wp:start x="0" y="0"/>
              <wp:lineTo x="0" y="16615"/>
              <wp:lineTo x="383" y="19938"/>
              <wp:lineTo x="4976" y="19938"/>
              <wp:lineTo x="21051" y="19938"/>
              <wp:lineTo x="21051" y="0"/>
              <wp:lineTo x="5359"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stretch>
                    <a:fillRect/>
                  </a:stretch>
                </pic:blipFill>
                <pic:spPr>
                  <a:xfrm>
                    <a:off x="0" y="0"/>
                    <a:ext cx="1075055" cy="247650"/>
                  </a:xfrm>
                  <a:prstGeom prst="rect">
                    <a:avLst/>
                  </a:prstGeom>
                </pic:spPr>
              </pic:pic>
            </a:graphicData>
          </a:graphic>
          <wp14:sizeRelH relativeFrom="margin">
            <wp14:pctWidth>0</wp14:pctWidth>
          </wp14:sizeRelH>
          <wp14:sizeRelV relativeFrom="margin">
            <wp14:pctHeight>0</wp14:pctHeight>
          </wp14:sizeRelV>
        </wp:anchor>
      </w:drawing>
    </w:r>
    <w:r w:rsidR="003E62F2" w:rsidRPr="004E0911">
      <w:rPr>
        <w:rFonts w:ascii="Arial" w:hAnsi="Arial" w:cs="Arial"/>
        <w:noProof/>
        <w:color w:val="215868" w:themeColor="accent5" w:themeShade="80"/>
        <w:sz w:val="22"/>
        <w:szCs w:val="22"/>
        <w:lang w:eastAsia="zh-CN"/>
      </w:rPr>
      <mc:AlternateContent>
        <mc:Choice Requires="wps">
          <w:drawing>
            <wp:anchor distT="0" distB="0" distL="114300" distR="114300" simplePos="0" relativeHeight="251659264" behindDoc="0" locked="0" layoutInCell="1" allowOverlap="1" wp14:anchorId="756A17B2" wp14:editId="08B07DDF">
              <wp:simplePos x="0" y="0"/>
              <wp:positionH relativeFrom="column">
                <wp:posOffset>-336550</wp:posOffset>
              </wp:positionH>
              <wp:positionV relativeFrom="paragraph">
                <wp:posOffset>-113031</wp:posOffset>
              </wp:positionV>
              <wp:extent cx="6083300" cy="20727"/>
              <wp:effectExtent l="19050" t="19050" r="31750" b="36830"/>
              <wp:wrapNone/>
              <wp:docPr id="137" name="Straight Connector 137"/>
              <wp:cNvGraphicFramePr/>
              <a:graphic xmlns:a="http://schemas.openxmlformats.org/drawingml/2006/main">
                <a:graphicData uri="http://schemas.microsoft.com/office/word/2010/wordprocessingShape">
                  <wps:wsp>
                    <wps:cNvCnPr/>
                    <wps:spPr>
                      <a:xfrm>
                        <a:off x="0" y="0"/>
                        <a:ext cx="6083300" cy="20727"/>
                      </a:xfrm>
                      <a:prstGeom prst="line">
                        <a:avLst/>
                      </a:prstGeom>
                      <a:ln w="38100" cap="rnd">
                        <a:solidFill>
                          <a:schemeClr val="accent5">
                            <a:lumMod val="7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87E79" id="Straight Connector 13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8.9pt" to="45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" strokecolor="#31849b [2408]" strokeweight="3pt">
              <v:stroke dashstyle="1 1" endcap="round"/>
            </v:line>
          </w:pict>
        </mc:Fallback>
      </mc:AlternateContent>
    </w:r>
    <w:r w:rsidR="00150818">
      <w:rPr>
        <w:rFonts w:ascii="Arial" w:eastAsia="DengXian" w:hAnsi="Arial" w:cs="Arial"/>
        <w:color w:val="006666"/>
        <w:sz w:val="18"/>
        <w:szCs w:val="18"/>
        <w:lang w:eastAsia="zh-CN"/>
      </w:rPr>
      <w:t>OCTOBER</w:t>
    </w:r>
    <w:r w:rsidR="006602BE">
      <w:rPr>
        <w:rFonts w:ascii="Arial" w:eastAsia="DengXian" w:hAnsi="Arial" w:cs="Arial"/>
        <w:color w:val="006666"/>
        <w:sz w:val="18"/>
        <w:szCs w:val="18"/>
        <w:lang w:eastAsia="zh-CN"/>
      </w:rPr>
      <w:t xml:space="preserve"> </w:t>
    </w:r>
    <w:r w:rsidR="000462FA">
      <w:rPr>
        <w:rFonts w:ascii="Arial" w:eastAsia="DengXian" w:hAnsi="Arial" w:cs="Arial"/>
        <w:color w:val="006666"/>
        <w:sz w:val="18"/>
        <w:szCs w:val="18"/>
        <w:lang w:eastAsia="zh-CN"/>
      </w:rPr>
      <w:t>202</w:t>
    </w:r>
    <w:r w:rsidR="00150818">
      <w:rPr>
        <w:rFonts w:ascii="Arial" w:eastAsia="DengXian" w:hAnsi="Arial" w:cs="Arial"/>
        <w:color w:val="006666"/>
        <w:sz w:val="18"/>
        <w:szCs w:val="18"/>
        <w:lang w:eastAsia="zh-CN"/>
      </w:rPr>
      <w:t>2</w:t>
    </w:r>
    <w:r w:rsidR="000462FA">
      <w:rPr>
        <w:rFonts w:ascii="Arial" w:eastAsia="DengXian" w:hAnsi="Arial" w:cs="Arial"/>
        <w:color w:val="006666"/>
        <w:sz w:val="18"/>
        <w:szCs w:val="18"/>
        <w:lang w:eastAsia="zh-CN"/>
      </w:rPr>
      <w:t xml:space="preserve"> | </w:t>
    </w:r>
    <w:r w:rsidR="004E0911" w:rsidRPr="004E0911">
      <w:rPr>
        <w:rFonts w:ascii="Arial" w:eastAsia="DengXian" w:hAnsi="Arial" w:cs="Arial"/>
        <w:color w:val="006666"/>
        <w:sz w:val="18"/>
        <w:szCs w:val="18"/>
        <w:lang w:eastAsia="zh-CN"/>
      </w:rPr>
      <w:t xml:space="preserve">ECONOMIC BULLETIN       </w:t>
    </w:r>
    <w:sdt>
      <w:sdtPr>
        <w:rPr>
          <w:rFonts w:ascii="Arial" w:eastAsia="DengXian" w:hAnsi="Arial" w:cs="Arial"/>
          <w:color w:val="006666"/>
          <w:sz w:val="16"/>
          <w:szCs w:val="16"/>
          <w:lang w:eastAsia="zh-CN"/>
        </w:rPr>
        <w:id w:val="1569301349"/>
        <w:docPartObj>
          <w:docPartGallery w:val="Page Numbers (Bottom of Page)"/>
          <w:docPartUnique/>
        </w:docPartObj>
      </w:sdtPr>
      <w:sdtEndPr>
        <w:rPr>
          <w:sz w:val="24"/>
          <w:szCs w:val="24"/>
        </w:rPr>
      </w:sdtEndPr>
      <w:sdtContent>
        <w:r w:rsidR="004E0911" w:rsidRPr="004E0911">
          <w:rPr>
            <w:rFonts w:ascii="Arial" w:eastAsia="DengXian" w:hAnsi="Arial" w:cs="Arial"/>
            <w:color w:val="006666"/>
            <w:sz w:val="20"/>
            <w:szCs w:val="20"/>
            <w:lang w:eastAsia="zh-CN"/>
          </w:rPr>
          <w:fldChar w:fldCharType="begin"/>
        </w:r>
        <w:r w:rsidR="004E0911" w:rsidRPr="004E0911">
          <w:rPr>
            <w:rFonts w:ascii="Arial" w:eastAsia="DengXian" w:hAnsi="Arial" w:cs="Arial"/>
            <w:color w:val="006666"/>
            <w:sz w:val="20"/>
            <w:szCs w:val="20"/>
            <w:lang w:eastAsia="zh-CN"/>
          </w:rPr>
          <w:instrText xml:space="preserve"> PAGE   \* MERGEFORMAT </w:instrText>
        </w:r>
        <w:r w:rsidR="004E0911" w:rsidRPr="004E0911">
          <w:rPr>
            <w:rFonts w:ascii="Arial" w:eastAsia="DengXian" w:hAnsi="Arial" w:cs="Arial"/>
            <w:color w:val="006666"/>
            <w:sz w:val="20"/>
            <w:szCs w:val="20"/>
            <w:lang w:eastAsia="zh-CN"/>
          </w:rPr>
          <w:fldChar w:fldCharType="separate"/>
        </w:r>
        <w:r w:rsidR="004E0911" w:rsidRPr="004E0911">
          <w:rPr>
            <w:rFonts w:ascii="Arial" w:eastAsia="DengXian" w:hAnsi="Arial" w:cs="Arial"/>
            <w:color w:val="006666"/>
            <w:sz w:val="20"/>
            <w:szCs w:val="20"/>
            <w:lang w:eastAsia="zh-CN"/>
          </w:rPr>
          <w:t>2</w:t>
        </w:r>
        <w:r w:rsidR="004E0911" w:rsidRPr="004E0911">
          <w:rPr>
            <w:rFonts w:ascii="Arial" w:eastAsia="DengXian" w:hAnsi="Arial" w:cs="Arial"/>
            <w:color w:val="006666"/>
            <w:sz w:val="20"/>
            <w:szCs w:val="20"/>
            <w:lang w:eastAsia="zh-CN"/>
          </w:rPr>
          <w:fldChar w:fldCharType="end"/>
        </w:r>
      </w:sdtContent>
    </w:sdt>
  </w:p>
  <w:p w14:paraId="1B7D3A33" w14:textId="532D2B98" w:rsidR="004E0911" w:rsidRPr="004E0911" w:rsidRDefault="00763895" w:rsidP="00763895">
    <w:pPr>
      <w:pStyle w:val="Footer"/>
      <w:tabs>
        <w:tab w:val="clear" w:pos="4680"/>
        <w:tab w:val="clear" w:pos="9360"/>
        <w:tab w:val="left" w:pos="1800"/>
      </w:tabs>
      <w:rPr>
        <w:rFonts w:ascii="Arial" w:hAnsi="Arial" w:cs="Arial"/>
      </w:rPr>
    </w:pPr>
    <w:r>
      <w:rPr>
        <w:rFonts w:ascii="Arial" w:hAnsi="Arial" w:cs="Aria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2CF9" w14:textId="77777777" w:rsidR="003C5591" w:rsidRDefault="003C5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59612" w14:textId="77777777" w:rsidR="006013F6" w:rsidRDefault="006013F6" w:rsidP="004E0911">
      <w:r>
        <w:separator/>
      </w:r>
    </w:p>
  </w:footnote>
  <w:footnote w:type="continuationSeparator" w:id="0">
    <w:p w14:paraId="5AD26BC6" w14:textId="77777777" w:rsidR="006013F6" w:rsidRDefault="006013F6" w:rsidP="004E0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D196" w14:textId="77777777" w:rsidR="003C5591" w:rsidRDefault="003C55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CF3E" w14:textId="77777777" w:rsidR="003C5591" w:rsidRDefault="003C55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2469" w14:textId="77777777" w:rsidR="003C5591" w:rsidRDefault="003C5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0E3"/>
    <w:multiLevelType w:val="hybridMultilevel"/>
    <w:tmpl w:val="0DE2FB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8AC654F"/>
    <w:multiLevelType w:val="hybridMultilevel"/>
    <w:tmpl w:val="28ACBE6A"/>
    <w:lvl w:ilvl="0" w:tplc="801078C8">
      <w:start w:val="1"/>
      <w:numFmt w:val="decimal"/>
      <w:lvlText w:val="%1."/>
      <w:lvlJc w:val="left"/>
      <w:pPr>
        <w:ind w:left="720" w:hanging="360"/>
      </w:pPr>
      <w:rPr>
        <w:rFonts w:asciiTheme="minorBidi" w:eastAsia="DengXian" w:hAnsiTheme="minorBidi" w:hint="default"/>
        <w:color w:val="006666"/>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8CA3CE0"/>
    <w:multiLevelType w:val="hybridMultilevel"/>
    <w:tmpl w:val="F8C6587E"/>
    <w:lvl w:ilvl="0" w:tplc="A62A4784">
      <w:numFmt w:val="bullet"/>
      <w:lvlText w:val=""/>
      <w:lvlJc w:val="left"/>
      <w:pPr>
        <w:ind w:left="720" w:hanging="360"/>
      </w:pPr>
      <w:rPr>
        <w:rFonts w:ascii="Symbol" w:eastAsiaTheme="maj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D6A78"/>
    <w:multiLevelType w:val="hybridMultilevel"/>
    <w:tmpl w:val="49FEE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71154"/>
    <w:multiLevelType w:val="hybridMultilevel"/>
    <w:tmpl w:val="DFB011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EE647D9"/>
    <w:multiLevelType w:val="hybridMultilevel"/>
    <w:tmpl w:val="F12241FA"/>
    <w:lvl w:ilvl="0" w:tplc="F50ECE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274FB4"/>
    <w:multiLevelType w:val="hybridMultilevel"/>
    <w:tmpl w:val="F7B231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16E1430"/>
    <w:multiLevelType w:val="hybridMultilevel"/>
    <w:tmpl w:val="6A4EA8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16780D"/>
    <w:multiLevelType w:val="hybridMultilevel"/>
    <w:tmpl w:val="91920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2"/>
  </w:num>
  <w:num w:numId="5">
    <w:abstractNumId w:val="5"/>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5E"/>
    <w:rsid w:val="00000A39"/>
    <w:rsid w:val="00001370"/>
    <w:rsid w:val="00005D78"/>
    <w:rsid w:val="00010C41"/>
    <w:rsid w:val="00011C49"/>
    <w:rsid w:val="00012741"/>
    <w:rsid w:val="000172F4"/>
    <w:rsid w:val="000209DC"/>
    <w:rsid w:val="00021BF8"/>
    <w:rsid w:val="000256C1"/>
    <w:rsid w:val="00033D59"/>
    <w:rsid w:val="00034BF9"/>
    <w:rsid w:val="0003509A"/>
    <w:rsid w:val="0003552B"/>
    <w:rsid w:val="00035A9E"/>
    <w:rsid w:val="00036686"/>
    <w:rsid w:val="00041D2C"/>
    <w:rsid w:val="0004305B"/>
    <w:rsid w:val="00045AAE"/>
    <w:rsid w:val="000462FA"/>
    <w:rsid w:val="0005007F"/>
    <w:rsid w:val="00050287"/>
    <w:rsid w:val="00050999"/>
    <w:rsid w:val="00050EE4"/>
    <w:rsid w:val="00053195"/>
    <w:rsid w:val="000532F9"/>
    <w:rsid w:val="00055D60"/>
    <w:rsid w:val="0005623F"/>
    <w:rsid w:val="00057F2E"/>
    <w:rsid w:val="0006186D"/>
    <w:rsid w:val="00062184"/>
    <w:rsid w:val="000650D8"/>
    <w:rsid w:val="00065CE5"/>
    <w:rsid w:val="00065FB1"/>
    <w:rsid w:val="000662B2"/>
    <w:rsid w:val="000666DA"/>
    <w:rsid w:val="00070CAE"/>
    <w:rsid w:val="00073D27"/>
    <w:rsid w:val="0007545A"/>
    <w:rsid w:val="000758BB"/>
    <w:rsid w:val="000761B9"/>
    <w:rsid w:val="00076776"/>
    <w:rsid w:val="0007756B"/>
    <w:rsid w:val="00080F70"/>
    <w:rsid w:val="00081B22"/>
    <w:rsid w:val="00082E9F"/>
    <w:rsid w:val="00085203"/>
    <w:rsid w:val="00085B68"/>
    <w:rsid w:val="00086BB9"/>
    <w:rsid w:val="0008774E"/>
    <w:rsid w:val="000904A9"/>
    <w:rsid w:val="000935B6"/>
    <w:rsid w:val="00094DD5"/>
    <w:rsid w:val="00094E71"/>
    <w:rsid w:val="000964E0"/>
    <w:rsid w:val="0009690E"/>
    <w:rsid w:val="00097A63"/>
    <w:rsid w:val="000A1F8C"/>
    <w:rsid w:val="000A2266"/>
    <w:rsid w:val="000A3AA0"/>
    <w:rsid w:val="000A3EBB"/>
    <w:rsid w:val="000A6083"/>
    <w:rsid w:val="000B24AA"/>
    <w:rsid w:val="000B3119"/>
    <w:rsid w:val="000B41EA"/>
    <w:rsid w:val="000B6448"/>
    <w:rsid w:val="000C59EE"/>
    <w:rsid w:val="000C66F9"/>
    <w:rsid w:val="000D0C45"/>
    <w:rsid w:val="000D16DB"/>
    <w:rsid w:val="000D4600"/>
    <w:rsid w:val="000D4790"/>
    <w:rsid w:val="000D4B2D"/>
    <w:rsid w:val="000D7AE2"/>
    <w:rsid w:val="000D7C27"/>
    <w:rsid w:val="000E3540"/>
    <w:rsid w:val="000E4B19"/>
    <w:rsid w:val="000F279E"/>
    <w:rsid w:val="000F4A4E"/>
    <w:rsid w:val="000F5760"/>
    <w:rsid w:val="000F6325"/>
    <w:rsid w:val="00102352"/>
    <w:rsid w:val="00102CB2"/>
    <w:rsid w:val="001078E4"/>
    <w:rsid w:val="00113523"/>
    <w:rsid w:val="00113B62"/>
    <w:rsid w:val="00120161"/>
    <w:rsid w:val="001239DD"/>
    <w:rsid w:val="00124BED"/>
    <w:rsid w:val="00124EEE"/>
    <w:rsid w:val="00127707"/>
    <w:rsid w:val="00132EF5"/>
    <w:rsid w:val="00133814"/>
    <w:rsid w:val="00136322"/>
    <w:rsid w:val="00137465"/>
    <w:rsid w:val="00137E5A"/>
    <w:rsid w:val="0014026E"/>
    <w:rsid w:val="00146B56"/>
    <w:rsid w:val="00147F02"/>
    <w:rsid w:val="00150507"/>
    <w:rsid w:val="00150818"/>
    <w:rsid w:val="00151AA4"/>
    <w:rsid w:val="00152376"/>
    <w:rsid w:val="00154357"/>
    <w:rsid w:val="00154DF5"/>
    <w:rsid w:val="001559B2"/>
    <w:rsid w:val="00160149"/>
    <w:rsid w:val="00160D20"/>
    <w:rsid w:val="00163D4F"/>
    <w:rsid w:val="00165441"/>
    <w:rsid w:val="00165FA6"/>
    <w:rsid w:val="00166516"/>
    <w:rsid w:val="0017342B"/>
    <w:rsid w:val="00175DC1"/>
    <w:rsid w:val="0017645D"/>
    <w:rsid w:val="00177D1D"/>
    <w:rsid w:val="00182FFF"/>
    <w:rsid w:val="00183C0F"/>
    <w:rsid w:val="001876D0"/>
    <w:rsid w:val="001909AA"/>
    <w:rsid w:val="00190D36"/>
    <w:rsid w:val="00191A99"/>
    <w:rsid w:val="0019629B"/>
    <w:rsid w:val="001A33C0"/>
    <w:rsid w:val="001A4F44"/>
    <w:rsid w:val="001A679A"/>
    <w:rsid w:val="001A7E1C"/>
    <w:rsid w:val="001B2B39"/>
    <w:rsid w:val="001B3553"/>
    <w:rsid w:val="001C04AE"/>
    <w:rsid w:val="001C0650"/>
    <w:rsid w:val="001C2FB7"/>
    <w:rsid w:val="001C6894"/>
    <w:rsid w:val="001D01E5"/>
    <w:rsid w:val="001D6F7F"/>
    <w:rsid w:val="001D712C"/>
    <w:rsid w:val="001E0CB2"/>
    <w:rsid w:val="001E3D14"/>
    <w:rsid w:val="001E4D9E"/>
    <w:rsid w:val="001E6211"/>
    <w:rsid w:val="001E7662"/>
    <w:rsid w:val="001F09BD"/>
    <w:rsid w:val="001F3C91"/>
    <w:rsid w:val="001F4E7E"/>
    <w:rsid w:val="001F548E"/>
    <w:rsid w:val="00200BC0"/>
    <w:rsid w:val="00200F80"/>
    <w:rsid w:val="00201E8D"/>
    <w:rsid w:val="0020241E"/>
    <w:rsid w:val="00202A20"/>
    <w:rsid w:val="0020564C"/>
    <w:rsid w:val="002156B4"/>
    <w:rsid w:val="002160DD"/>
    <w:rsid w:val="00217307"/>
    <w:rsid w:val="00220E75"/>
    <w:rsid w:val="00225181"/>
    <w:rsid w:val="00225B0D"/>
    <w:rsid w:val="00226D56"/>
    <w:rsid w:val="0023156C"/>
    <w:rsid w:val="0023377A"/>
    <w:rsid w:val="002350E4"/>
    <w:rsid w:val="00236141"/>
    <w:rsid w:val="0023662F"/>
    <w:rsid w:val="00236741"/>
    <w:rsid w:val="00240D47"/>
    <w:rsid w:val="00242633"/>
    <w:rsid w:val="00242FC6"/>
    <w:rsid w:val="002438BE"/>
    <w:rsid w:val="00246271"/>
    <w:rsid w:val="002463AB"/>
    <w:rsid w:val="002479DC"/>
    <w:rsid w:val="00247F28"/>
    <w:rsid w:val="0025083D"/>
    <w:rsid w:val="00254B89"/>
    <w:rsid w:val="00254F31"/>
    <w:rsid w:val="002575B8"/>
    <w:rsid w:val="00257B77"/>
    <w:rsid w:val="0026367A"/>
    <w:rsid w:val="0027077E"/>
    <w:rsid w:val="00270D9B"/>
    <w:rsid w:val="002820CC"/>
    <w:rsid w:val="002849CE"/>
    <w:rsid w:val="00285CF3"/>
    <w:rsid w:val="002861F1"/>
    <w:rsid w:val="00286F18"/>
    <w:rsid w:val="00293B2A"/>
    <w:rsid w:val="0029556C"/>
    <w:rsid w:val="0029707F"/>
    <w:rsid w:val="002A1986"/>
    <w:rsid w:val="002A36A9"/>
    <w:rsid w:val="002A4381"/>
    <w:rsid w:val="002A501F"/>
    <w:rsid w:val="002A51BD"/>
    <w:rsid w:val="002B06B9"/>
    <w:rsid w:val="002C0717"/>
    <w:rsid w:val="002C0A06"/>
    <w:rsid w:val="002C4CAB"/>
    <w:rsid w:val="002C4F65"/>
    <w:rsid w:val="002C6039"/>
    <w:rsid w:val="002C6052"/>
    <w:rsid w:val="002C6A06"/>
    <w:rsid w:val="002C779D"/>
    <w:rsid w:val="002C77EB"/>
    <w:rsid w:val="002C7CC1"/>
    <w:rsid w:val="002D1641"/>
    <w:rsid w:val="002D2585"/>
    <w:rsid w:val="002D43F6"/>
    <w:rsid w:val="002D5439"/>
    <w:rsid w:val="002D5D8D"/>
    <w:rsid w:val="002D6D64"/>
    <w:rsid w:val="002E2529"/>
    <w:rsid w:val="002E3155"/>
    <w:rsid w:val="002E5664"/>
    <w:rsid w:val="002F1A08"/>
    <w:rsid w:val="002F3939"/>
    <w:rsid w:val="002F7121"/>
    <w:rsid w:val="003000A5"/>
    <w:rsid w:val="00300FBC"/>
    <w:rsid w:val="00301933"/>
    <w:rsid w:val="0030256F"/>
    <w:rsid w:val="00302B07"/>
    <w:rsid w:val="00304935"/>
    <w:rsid w:val="00312B3B"/>
    <w:rsid w:val="0031423E"/>
    <w:rsid w:val="003144E7"/>
    <w:rsid w:val="00320C2C"/>
    <w:rsid w:val="00321B1F"/>
    <w:rsid w:val="00323121"/>
    <w:rsid w:val="00325DCC"/>
    <w:rsid w:val="003264C1"/>
    <w:rsid w:val="00332FF0"/>
    <w:rsid w:val="0033304E"/>
    <w:rsid w:val="0033705A"/>
    <w:rsid w:val="003405B2"/>
    <w:rsid w:val="00340F9F"/>
    <w:rsid w:val="003453CE"/>
    <w:rsid w:val="00345597"/>
    <w:rsid w:val="00347C39"/>
    <w:rsid w:val="00353D7F"/>
    <w:rsid w:val="003552FA"/>
    <w:rsid w:val="00357B43"/>
    <w:rsid w:val="00357E28"/>
    <w:rsid w:val="0036016F"/>
    <w:rsid w:val="0036467E"/>
    <w:rsid w:val="00364C65"/>
    <w:rsid w:val="0036508A"/>
    <w:rsid w:val="00366E6D"/>
    <w:rsid w:val="003675F0"/>
    <w:rsid w:val="003679E3"/>
    <w:rsid w:val="00370241"/>
    <w:rsid w:val="003711D0"/>
    <w:rsid w:val="0037327A"/>
    <w:rsid w:val="00375E28"/>
    <w:rsid w:val="0038036D"/>
    <w:rsid w:val="00380F7F"/>
    <w:rsid w:val="003830A2"/>
    <w:rsid w:val="00384E27"/>
    <w:rsid w:val="003915CD"/>
    <w:rsid w:val="00391B46"/>
    <w:rsid w:val="00392C12"/>
    <w:rsid w:val="00394750"/>
    <w:rsid w:val="00394C3E"/>
    <w:rsid w:val="00395B89"/>
    <w:rsid w:val="003965F6"/>
    <w:rsid w:val="00397559"/>
    <w:rsid w:val="003A03EB"/>
    <w:rsid w:val="003A09A6"/>
    <w:rsid w:val="003A141F"/>
    <w:rsid w:val="003A1773"/>
    <w:rsid w:val="003A3D3C"/>
    <w:rsid w:val="003A4880"/>
    <w:rsid w:val="003A53D5"/>
    <w:rsid w:val="003A5FB7"/>
    <w:rsid w:val="003A611B"/>
    <w:rsid w:val="003A7510"/>
    <w:rsid w:val="003B1C0A"/>
    <w:rsid w:val="003B4366"/>
    <w:rsid w:val="003B4EA9"/>
    <w:rsid w:val="003B63B8"/>
    <w:rsid w:val="003B6DC1"/>
    <w:rsid w:val="003C230A"/>
    <w:rsid w:val="003C2A38"/>
    <w:rsid w:val="003C2F6D"/>
    <w:rsid w:val="003C5591"/>
    <w:rsid w:val="003C6AD9"/>
    <w:rsid w:val="003D1182"/>
    <w:rsid w:val="003D1FDE"/>
    <w:rsid w:val="003D7074"/>
    <w:rsid w:val="003E0DCA"/>
    <w:rsid w:val="003E1340"/>
    <w:rsid w:val="003E1FD8"/>
    <w:rsid w:val="003E2B9E"/>
    <w:rsid w:val="003E62F2"/>
    <w:rsid w:val="003E67C3"/>
    <w:rsid w:val="003E7ED8"/>
    <w:rsid w:val="003F1561"/>
    <w:rsid w:val="003F1AE7"/>
    <w:rsid w:val="003F5667"/>
    <w:rsid w:val="003F6170"/>
    <w:rsid w:val="0040037F"/>
    <w:rsid w:val="00400B8D"/>
    <w:rsid w:val="00402710"/>
    <w:rsid w:val="00403845"/>
    <w:rsid w:val="00403AD2"/>
    <w:rsid w:val="00405C0D"/>
    <w:rsid w:val="0040689D"/>
    <w:rsid w:val="0040768C"/>
    <w:rsid w:val="004077CC"/>
    <w:rsid w:val="00407932"/>
    <w:rsid w:val="004102F8"/>
    <w:rsid w:val="00413192"/>
    <w:rsid w:val="00414D06"/>
    <w:rsid w:val="0042000C"/>
    <w:rsid w:val="00420F69"/>
    <w:rsid w:val="0042366E"/>
    <w:rsid w:val="00427AC6"/>
    <w:rsid w:val="00430FDB"/>
    <w:rsid w:val="00431A2E"/>
    <w:rsid w:val="00442198"/>
    <w:rsid w:val="004433AC"/>
    <w:rsid w:val="004446C9"/>
    <w:rsid w:val="00445DCC"/>
    <w:rsid w:val="00453D20"/>
    <w:rsid w:val="00461BC5"/>
    <w:rsid w:val="00462855"/>
    <w:rsid w:val="00464A74"/>
    <w:rsid w:val="004672BB"/>
    <w:rsid w:val="00467CFC"/>
    <w:rsid w:val="004708C3"/>
    <w:rsid w:val="00470C82"/>
    <w:rsid w:val="00470D41"/>
    <w:rsid w:val="00472C4B"/>
    <w:rsid w:val="0047357B"/>
    <w:rsid w:val="00474BAE"/>
    <w:rsid w:val="004754CE"/>
    <w:rsid w:val="0048052C"/>
    <w:rsid w:val="00484215"/>
    <w:rsid w:val="0048589E"/>
    <w:rsid w:val="00485CA1"/>
    <w:rsid w:val="004867FA"/>
    <w:rsid w:val="00490EE9"/>
    <w:rsid w:val="004928D9"/>
    <w:rsid w:val="00497A8F"/>
    <w:rsid w:val="004A2366"/>
    <w:rsid w:val="004A34EB"/>
    <w:rsid w:val="004A46A9"/>
    <w:rsid w:val="004A5135"/>
    <w:rsid w:val="004A536D"/>
    <w:rsid w:val="004B2980"/>
    <w:rsid w:val="004B442D"/>
    <w:rsid w:val="004B50CF"/>
    <w:rsid w:val="004B6CF5"/>
    <w:rsid w:val="004C1A17"/>
    <w:rsid w:val="004C3869"/>
    <w:rsid w:val="004C5782"/>
    <w:rsid w:val="004C6CC3"/>
    <w:rsid w:val="004C741F"/>
    <w:rsid w:val="004C7986"/>
    <w:rsid w:val="004D5083"/>
    <w:rsid w:val="004E0911"/>
    <w:rsid w:val="004E239C"/>
    <w:rsid w:val="004E2A23"/>
    <w:rsid w:val="004E455A"/>
    <w:rsid w:val="004E560D"/>
    <w:rsid w:val="004E5EFC"/>
    <w:rsid w:val="004E74F6"/>
    <w:rsid w:val="004E7B78"/>
    <w:rsid w:val="004E7C85"/>
    <w:rsid w:val="004F00C1"/>
    <w:rsid w:val="004F083F"/>
    <w:rsid w:val="004F2444"/>
    <w:rsid w:val="004F6273"/>
    <w:rsid w:val="004F6894"/>
    <w:rsid w:val="004F6F0A"/>
    <w:rsid w:val="00500BA1"/>
    <w:rsid w:val="00501296"/>
    <w:rsid w:val="005075C4"/>
    <w:rsid w:val="005118AA"/>
    <w:rsid w:val="0051199E"/>
    <w:rsid w:val="00513040"/>
    <w:rsid w:val="00513377"/>
    <w:rsid w:val="005152A3"/>
    <w:rsid w:val="005157BC"/>
    <w:rsid w:val="00515A4D"/>
    <w:rsid w:val="005207D6"/>
    <w:rsid w:val="00522217"/>
    <w:rsid w:val="005229D3"/>
    <w:rsid w:val="00524EA1"/>
    <w:rsid w:val="00527027"/>
    <w:rsid w:val="005349B0"/>
    <w:rsid w:val="00535AE7"/>
    <w:rsid w:val="005419F9"/>
    <w:rsid w:val="0054349A"/>
    <w:rsid w:val="0054356E"/>
    <w:rsid w:val="005447C3"/>
    <w:rsid w:val="005471C1"/>
    <w:rsid w:val="0055216B"/>
    <w:rsid w:val="00552AAC"/>
    <w:rsid w:val="00553F79"/>
    <w:rsid w:val="0055590B"/>
    <w:rsid w:val="005577DE"/>
    <w:rsid w:val="005613FE"/>
    <w:rsid w:val="005626C5"/>
    <w:rsid w:val="00562952"/>
    <w:rsid w:val="00562980"/>
    <w:rsid w:val="00564595"/>
    <w:rsid w:val="00564AB6"/>
    <w:rsid w:val="00566CC6"/>
    <w:rsid w:val="005674EA"/>
    <w:rsid w:val="00573214"/>
    <w:rsid w:val="0057417D"/>
    <w:rsid w:val="00576E9C"/>
    <w:rsid w:val="005802F7"/>
    <w:rsid w:val="005806A2"/>
    <w:rsid w:val="00580925"/>
    <w:rsid w:val="00580CC0"/>
    <w:rsid w:val="0058114E"/>
    <w:rsid w:val="00585CD2"/>
    <w:rsid w:val="00590933"/>
    <w:rsid w:val="005936CE"/>
    <w:rsid w:val="005A172B"/>
    <w:rsid w:val="005A17ED"/>
    <w:rsid w:val="005A4C9B"/>
    <w:rsid w:val="005A4E00"/>
    <w:rsid w:val="005A7F4D"/>
    <w:rsid w:val="005B2887"/>
    <w:rsid w:val="005B47F4"/>
    <w:rsid w:val="005B52F1"/>
    <w:rsid w:val="005B6C0C"/>
    <w:rsid w:val="005C2A9A"/>
    <w:rsid w:val="005C2B55"/>
    <w:rsid w:val="005D0CC3"/>
    <w:rsid w:val="005D1BC3"/>
    <w:rsid w:val="005D282F"/>
    <w:rsid w:val="005D3074"/>
    <w:rsid w:val="005D5693"/>
    <w:rsid w:val="005D6C25"/>
    <w:rsid w:val="005E1A38"/>
    <w:rsid w:val="005E335F"/>
    <w:rsid w:val="005E3E5E"/>
    <w:rsid w:val="005E48CD"/>
    <w:rsid w:val="005E5E1D"/>
    <w:rsid w:val="005E7C86"/>
    <w:rsid w:val="005F0257"/>
    <w:rsid w:val="005F0615"/>
    <w:rsid w:val="005F167A"/>
    <w:rsid w:val="005F2545"/>
    <w:rsid w:val="005F3012"/>
    <w:rsid w:val="005F364D"/>
    <w:rsid w:val="005F51BE"/>
    <w:rsid w:val="005F5D64"/>
    <w:rsid w:val="005F62D6"/>
    <w:rsid w:val="005F74D2"/>
    <w:rsid w:val="005F7819"/>
    <w:rsid w:val="0060054E"/>
    <w:rsid w:val="00600A5D"/>
    <w:rsid w:val="006013F6"/>
    <w:rsid w:val="00601F54"/>
    <w:rsid w:val="00602670"/>
    <w:rsid w:val="0060289C"/>
    <w:rsid w:val="0060313C"/>
    <w:rsid w:val="00606695"/>
    <w:rsid w:val="00607DD5"/>
    <w:rsid w:val="0061076B"/>
    <w:rsid w:val="0061108C"/>
    <w:rsid w:val="006119EA"/>
    <w:rsid w:val="006144F0"/>
    <w:rsid w:val="00614B5F"/>
    <w:rsid w:val="0061522B"/>
    <w:rsid w:val="00615C8D"/>
    <w:rsid w:val="006160A5"/>
    <w:rsid w:val="00621426"/>
    <w:rsid w:val="00623423"/>
    <w:rsid w:val="00624E30"/>
    <w:rsid w:val="00626460"/>
    <w:rsid w:val="006264DB"/>
    <w:rsid w:val="00626F48"/>
    <w:rsid w:val="006305BC"/>
    <w:rsid w:val="00635505"/>
    <w:rsid w:val="00636B6C"/>
    <w:rsid w:val="00637BAF"/>
    <w:rsid w:val="00642E3F"/>
    <w:rsid w:val="006439D1"/>
    <w:rsid w:val="00644A66"/>
    <w:rsid w:val="0064643A"/>
    <w:rsid w:val="00646C8D"/>
    <w:rsid w:val="0064770C"/>
    <w:rsid w:val="006504AB"/>
    <w:rsid w:val="00650B16"/>
    <w:rsid w:val="00650D4D"/>
    <w:rsid w:val="00652705"/>
    <w:rsid w:val="00652F12"/>
    <w:rsid w:val="00653C8C"/>
    <w:rsid w:val="00655B19"/>
    <w:rsid w:val="00655D09"/>
    <w:rsid w:val="006601DC"/>
    <w:rsid w:val="006602BE"/>
    <w:rsid w:val="00661EC6"/>
    <w:rsid w:val="00662383"/>
    <w:rsid w:val="006624FC"/>
    <w:rsid w:val="006645A7"/>
    <w:rsid w:val="00665A61"/>
    <w:rsid w:val="00665A71"/>
    <w:rsid w:val="00666083"/>
    <w:rsid w:val="00667B37"/>
    <w:rsid w:val="00671069"/>
    <w:rsid w:val="00671B64"/>
    <w:rsid w:val="00676B7C"/>
    <w:rsid w:val="00677934"/>
    <w:rsid w:val="0068040D"/>
    <w:rsid w:val="00681EEE"/>
    <w:rsid w:val="00691536"/>
    <w:rsid w:val="00692C13"/>
    <w:rsid w:val="00693EBA"/>
    <w:rsid w:val="006965C1"/>
    <w:rsid w:val="006A0F0E"/>
    <w:rsid w:val="006A24B0"/>
    <w:rsid w:val="006B0B95"/>
    <w:rsid w:val="006B137D"/>
    <w:rsid w:val="006B160F"/>
    <w:rsid w:val="006B262B"/>
    <w:rsid w:val="006B2D37"/>
    <w:rsid w:val="006B3484"/>
    <w:rsid w:val="006B34BD"/>
    <w:rsid w:val="006B5887"/>
    <w:rsid w:val="006B7808"/>
    <w:rsid w:val="006C3B5D"/>
    <w:rsid w:val="006D22BD"/>
    <w:rsid w:val="006D33F4"/>
    <w:rsid w:val="006E3766"/>
    <w:rsid w:val="006E4729"/>
    <w:rsid w:val="006E66C2"/>
    <w:rsid w:val="006F19E2"/>
    <w:rsid w:val="006F31FE"/>
    <w:rsid w:val="006F72AC"/>
    <w:rsid w:val="006F76F5"/>
    <w:rsid w:val="00704C4C"/>
    <w:rsid w:val="00704D4A"/>
    <w:rsid w:val="00706EB4"/>
    <w:rsid w:val="007072BB"/>
    <w:rsid w:val="00707D13"/>
    <w:rsid w:val="00710209"/>
    <w:rsid w:val="00710A37"/>
    <w:rsid w:val="00713C8F"/>
    <w:rsid w:val="0071435D"/>
    <w:rsid w:val="00715129"/>
    <w:rsid w:val="00716064"/>
    <w:rsid w:val="00724B94"/>
    <w:rsid w:val="007254A7"/>
    <w:rsid w:val="00725FB0"/>
    <w:rsid w:val="00726388"/>
    <w:rsid w:val="00726CBF"/>
    <w:rsid w:val="00727242"/>
    <w:rsid w:val="00731C9E"/>
    <w:rsid w:val="00734078"/>
    <w:rsid w:val="00735D8C"/>
    <w:rsid w:val="00743203"/>
    <w:rsid w:val="0074403A"/>
    <w:rsid w:val="007521D2"/>
    <w:rsid w:val="00756615"/>
    <w:rsid w:val="00756649"/>
    <w:rsid w:val="00757974"/>
    <w:rsid w:val="00760A02"/>
    <w:rsid w:val="00763895"/>
    <w:rsid w:val="007642C1"/>
    <w:rsid w:val="00764F40"/>
    <w:rsid w:val="00765A26"/>
    <w:rsid w:val="007668B3"/>
    <w:rsid w:val="00766D61"/>
    <w:rsid w:val="0077281D"/>
    <w:rsid w:val="0077358E"/>
    <w:rsid w:val="00774B32"/>
    <w:rsid w:val="007751BA"/>
    <w:rsid w:val="00775842"/>
    <w:rsid w:val="00777E33"/>
    <w:rsid w:val="00781AF7"/>
    <w:rsid w:val="00782A7C"/>
    <w:rsid w:val="00786F9F"/>
    <w:rsid w:val="00786FBB"/>
    <w:rsid w:val="00790E99"/>
    <w:rsid w:val="007923B9"/>
    <w:rsid w:val="00794040"/>
    <w:rsid w:val="00796541"/>
    <w:rsid w:val="00797E4D"/>
    <w:rsid w:val="007A082E"/>
    <w:rsid w:val="007A16EF"/>
    <w:rsid w:val="007A3F03"/>
    <w:rsid w:val="007A4537"/>
    <w:rsid w:val="007A5B0F"/>
    <w:rsid w:val="007B2A83"/>
    <w:rsid w:val="007B2FDB"/>
    <w:rsid w:val="007B6FAE"/>
    <w:rsid w:val="007C03DA"/>
    <w:rsid w:val="007C1EED"/>
    <w:rsid w:val="007C7A5F"/>
    <w:rsid w:val="007D0FAE"/>
    <w:rsid w:val="007D14AF"/>
    <w:rsid w:val="007D3769"/>
    <w:rsid w:val="007D6114"/>
    <w:rsid w:val="007D6607"/>
    <w:rsid w:val="007D665A"/>
    <w:rsid w:val="007D6A96"/>
    <w:rsid w:val="007D6EB4"/>
    <w:rsid w:val="007E008C"/>
    <w:rsid w:val="007E22AF"/>
    <w:rsid w:val="007E42ED"/>
    <w:rsid w:val="007E4859"/>
    <w:rsid w:val="007E4FD7"/>
    <w:rsid w:val="007E5284"/>
    <w:rsid w:val="007E6250"/>
    <w:rsid w:val="007F05CE"/>
    <w:rsid w:val="007F0D1B"/>
    <w:rsid w:val="007F62D0"/>
    <w:rsid w:val="007F7C8A"/>
    <w:rsid w:val="007F7EAB"/>
    <w:rsid w:val="008009C7"/>
    <w:rsid w:val="00800EEE"/>
    <w:rsid w:val="0080328E"/>
    <w:rsid w:val="008076B7"/>
    <w:rsid w:val="00811BF6"/>
    <w:rsid w:val="00812E36"/>
    <w:rsid w:val="0082019E"/>
    <w:rsid w:val="0082098D"/>
    <w:rsid w:val="0082289C"/>
    <w:rsid w:val="00823265"/>
    <w:rsid w:val="00824881"/>
    <w:rsid w:val="00833B97"/>
    <w:rsid w:val="00833E89"/>
    <w:rsid w:val="00834F93"/>
    <w:rsid w:val="0083705B"/>
    <w:rsid w:val="008425C5"/>
    <w:rsid w:val="008478C9"/>
    <w:rsid w:val="00847EE8"/>
    <w:rsid w:val="00851B89"/>
    <w:rsid w:val="008541C5"/>
    <w:rsid w:val="00854FF8"/>
    <w:rsid w:val="00855386"/>
    <w:rsid w:val="0086240B"/>
    <w:rsid w:val="00863F3B"/>
    <w:rsid w:val="00865018"/>
    <w:rsid w:val="0086564D"/>
    <w:rsid w:val="00876F4C"/>
    <w:rsid w:val="0088237D"/>
    <w:rsid w:val="00883093"/>
    <w:rsid w:val="008851CA"/>
    <w:rsid w:val="008854EF"/>
    <w:rsid w:val="0088616E"/>
    <w:rsid w:val="008904A0"/>
    <w:rsid w:val="008908F9"/>
    <w:rsid w:val="00890B6C"/>
    <w:rsid w:val="008919FF"/>
    <w:rsid w:val="0089225A"/>
    <w:rsid w:val="00892AED"/>
    <w:rsid w:val="00894E12"/>
    <w:rsid w:val="00895657"/>
    <w:rsid w:val="00896B2F"/>
    <w:rsid w:val="008A0B19"/>
    <w:rsid w:val="008A145A"/>
    <w:rsid w:val="008A1618"/>
    <w:rsid w:val="008A1CCA"/>
    <w:rsid w:val="008A1F67"/>
    <w:rsid w:val="008A2022"/>
    <w:rsid w:val="008B2D25"/>
    <w:rsid w:val="008C20A2"/>
    <w:rsid w:val="008C27F0"/>
    <w:rsid w:val="008C35E5"/>
    <w:rsid w:val="008C4E29"/>
    <w:rsid w:val="008C5841"/>
    <w:rsid w:val="008D481D"/>
    <w:rsid w:val="008E1D1B"/>
    <w:rsid w:val="008E1E23"/>
    <w:rsid w:val="008E47DB"/>
    <w:rsid w:val="008E4D44"/>
    <w:rsid w:val="008E57C0"/>
    <w:rsid w:val="008E5DE3"/>
    <w:rsid w:val="008E6E54"/>
    <w:rsid w:val="008F283C"/>
    <w:rsid w:val="008F29BC"/>
    <w:rsid w:val="008F36E9"/>
    <w:rsid w:val="008F3967"/>
    <w:rsid w:val="008F49E0"/>
    <w:rsid w:val="008F52EE"/>
    <w:rsid w:val="008F71B5"/>
    <w:rsid w:val="009000D0"/>
    <w:rsid w:val="00905F39"/>
    <w:rsid w:val="00913338"/>
    <w:rsid w:val="00920459"/>
    <w:rsid w:val="00922977"/>
    <w:rsid w:val="009245F3"/>
    <w:rsid w:val="00925AF2"/>
    <w:rsid w:val="00925F81"/>
    <w:rsid w:val="00931720"/>
    <w:rsid w:val="009323EA"/>
    <w:rsid w:val="00936989"/>
    <w:rsid w:val="00937465"/>
    <w:rsid w:val="00937DBE"/>
    <w:rsid w:val="009406B2"/>
    <w:rsid w:val="00942DDA"/>
    <w:rsid w:val="00946D83"/>
    <w:rsid w:val="00950C35"/>
    <w:rsid w:val="00951559"/>
    <w:rsid w:val="0095528F"/>
    <w:rsid w:val="00960D12"/>
    <w:rsid w:val="00962141"/>
    <w:rsid w:val="00962D37"/>
    <w:rsid w:val="0096391A"/>
    <w:rsid w:val="009651FC"/>
    <w:rsid w:val="00970476"/>
    <w:rsid w:val="009736E5"/>
    <w:rsid w:val="00975FEE"/>
    <w:rsid w:val="0097702D"/>
    <w:rsid w:val="00983831"/>
    <w:rsid w:val="00985065"/>
    <w:rsid w:val="0098575A"/>
    <w:rsid w:val="00985EE3"/>
    <w:rsid w:val="009860A7"/>
    <w:rsid w:val="0099542A"/>
    <w:rsid w:val="00995454"/>
    <w:rsid w:val="009A29E4"/>
    <w:rsid w:val="009A4077"/>
    <w:rsid w:val="009B0996"/>
    <w:rsid w:val="009B146F"/>
    <w:rsid w:val="009B4366"/>
    <w:rsid w:val="009C06CD"/>
    <w:rsid w:val="009C2B91"/>
    <w:rsid w:val="009C4EE2"/>
    <w:rsid w:val="009C58CE"/>
    <w:rsid w:val="009D05EF"/>
    <w:rsid w:val="009D2A9A"/>
    <w:rsid w:val="009D2EB4"/>
    <w:rsid w:val="009D4280"/>
    <w:rsid w:val="009D5747"/>
    <w:rsid w:val="009D586A"/>
    <w:rsid w:val="009D71EF"/>
    <w:rsid w:val="009E171F"/>
    <w:rsid w:val="009E1BB4"/>
    <w:rsid w:val="009E33F9"/>
    <w:rsid w:val="009E44F5"/>
    <w:rsid w:val="009E6250"/>
    <w:rsid w:val="009E6307"/>
    <w:rsid w:val="009E6CE2"/>
    <w:rsid w:val="009F0019"/>
    <w:rsid w:val="009F0E1C"/>
    <w:rsid w:val="009F2143"/>
    <w:rsid w:val="009F621D"/>
    <w:rsid w:val="009F70EC"/>
    <w:rsid w:val="00A00D8F"/>
    <w:rsid w:val="00A02C86"/>
    <w:rsid w:val="00A04F6F"/>
    <w:rsid w:val="00A051BB"/>
    <w:rsid w:val="00A0619F"/>
    <w:rsid w:val="00A12315"/>
    <w:rsid w:val="00A1515B"/>
    <w:rsid w:val="00A159A4"/>
    <w:rsid w:val="00A17D3F"/>
    <w:rsid w:val="00A204B5"/>
    <w:rsid w:val="00A2212A"/>
    <w:rsid w:val="00A2249B"/>
    <w:rsid w:val="00A22653"/>
    <w:rsid w:val="00A248CE"/>
    <w:rsid w:val="00A2500E"/>
    <w:rsid w:val="00A27C47"/>
    <w:rsid w:val="00A309CB"/>
    <w:rsid w:val="00A3677B"/>
    <w:rsid w:val="00A37D73"/>
    <w:rsid w:val="00A37EF6"/>
    <w:rsid w:val="00A406DF"/>
    <w:rsid w:val="00A41496"/>
    <w:rsid w:val="00A427D6"/>
    <w:rsid w:val="00A43A4D"/>
    <w:rsid w:val="00A47A06"/>
    <w:rsid w:val="00A52478"/>
    <w:rsid w:val="00A537B3"/>
    <w:rsid w:val="00A541E9"/>
    <w:rsid w:val="00A5453E"/>
    <w:rsid w:val="00A54E66"/>
    <w:rsid w:val="00A6118E"/>
    <w:rsid w:val="00A639BC"/>
    <w:rsid w:val="00A70A4A"/>
    <w:rsid w:val="00A72DD9"/>
    <w:rsid w:val="00A77D71"/>
    <w:rsid w:val="00A81C8F"/>
    <w:rsid w:val="00A81D5C"/>
    <w:rsid w:val="00A8253C"/>
    <w:rsid w:val="00A84CB6"/>
    <w:rsid w:val="00A92F9A"/>
    <w:rsid w:val="00A92FD3"/>
    <w:rsid w:val="00A93AD2"/>
    <w:rsid w:val="00A9465E"/>
    <w:rsid w:val="00A94AE5"/>
    <w:rsid w:val="00A9726A"/>
    <w:rsid w:val="00A979CE"/>
    <w:rsid w:val="00A97F80"/>
    <w:rsid w:val="00AA1993"/>
    <w:rsid w:val="00AA1C13"/>
    <w:rsid w:val="00AA1D2E"/>
    <w:rsid w:val="00AA43FE"/>
    <w:rsid w:val="00AA6705"/>
    <w:rsid w:val="00AB1228"/>
    <w:rsid w:val="00AB4B29"/>
    <w:rsid w:val="00AB521E"/>
    <w:rsid w:val="00AB6014"/>
    <w:rsid w:val="00AB6706"/>
    <w:rsid w:val="00AC0592"/>
    <w:rsid w:val="00AC0BEF"/>
    <w:rsid w:val="00AC0F1D"/>
    <w:rsid w:val="00AC23CB"/>
    <w:rsid w:val="00AC40EB"/>
    <w:rsid w:val="00AC4E30"/>
    <w:rsid w:val="00AC7B63"/>
    <w:rsid w:val="00AC7D90"/>
    <w:rsid w:val="00AD1BFF"/>
    <w:rsid w:val="00AD7241"/>
    <w:rsid w:val="00AE30CC"/>
    <w:rsid w:val="00AE7D2E"/>
    <w:rsid w:val="00AF0654"/>
    <w:rsid w:val="00AF700A"/>
    <w:rsid w:val="00AF7563"/>
    <w:rsid w:val="00B0057C"/>
    <w:rsid w:val="00B05235"/>
    <w:rsid w:val="00B06501"/>
    <w:rsid w:val="00B066E3"/>
    <w:rsid w:val="00B07346"/>
    <w:rsid w:val="00B108A6"/>
    <w:rsid w:val="00B13E31"/>
    <w:rsid w:val="00B14A94"/>
    <w:rsid w:val="00B151FC"/>
    <w:rsid w:val="00B158A1"/>
    <w:rsid w:val="00B168F3"/>
    <w:rsid w:val="00B17B6B"/>
    <w:rsid w:val="00B2002B"/>
    <w:rsid w:val="00B23B8D"/>
    <w:rsid w:val="00B2543B"/>
    <w:rsid w:val="00B26331"/>
    <w:rsid w:val="00B31BBE"/>
    <w:rsid w:val="00B35C4B"/>
    <w:rsid w:val="00B36BAA"/>
    <w:rsid w:val="00B40968"/>
    <w:rsid w:val="00B42677"/>
    <w:rsid w:val="00B431B4"/>
    <w:rsid w:val="00B453E2"/>
    <w:rsid w:val="00B51C4E"/>
    <w:rsid w:val="00B53443"/>
    <w:rsid w:val="00B53E4B"/>
    <w:rsid w:val="00B54E8E"/>
    <w:rsid w:val="00B5518E"/>
    <w:rsid w:val="00B55E7B"/>
    <w:rsid w:val="00B56429"/>
    <w:rsid w:val="00B57171"/>
    <w:rsid w:val="00B613C4"/>
    <w:rsid w:val="00B62353"/>
    <w:rsid w:val="00B6479A"/>
    <w:rsid w:val="00B65901"/>
    <w:rsid w:val="00B65D5C"/>
    <w:rsid w:val="00B70031"/>
    <w:rsid w:val="00B7204A"/>
    <w:rsid w:val="00B72069"/>
    <w:rsid w:val="00B73469"/>
    <w:rsid w:val="00B7399A"/>
    <w:rsid w:val="00B73DDF"/>
    <w:rsid w:val="00B75DBD"/>
    <w:rsid w:val="00B76307"/>
    <w:rsid w:val="00B8126E"/>
    <w:rsid w:val="00B816FD"/>
    <w:rsid w:val="00B81B8E"/>
    <w:rsid w:val="00B82D51"/>
    <w:rsid w:val="00B93467"/>
    <w:rsid w:val="00B951EF"/>
    <w:rsid w:val="00B96035"/>
    <w:rsid w:val="00B96D13"/>
    <w:rsid w:val="00BA11B9"/>
    <w:rsid w:val="00BA3E3C"/>
    <w:rsid w:val="00BB09B4"/>
    <w:rsid w:val="00BB0E70"/>
    <w:rsid w:val="00BB1811"/>
    <w:rsid w:val="00BB2C32"/>
    <w:rsid w:val="00BC078D"/>
    <w:rsid w:val="00BC2559"/>
    <w:rsid w:val="00BC295E"/>
    <w:rsid w:val="00BC562D"/>
    <w:rsid w:val="00BC6B51"/>
    <w:rsid w:val="00BD1EC4"/>
    <w:rsid w:val="00BD388E"/>
    <w:rsid w:val="00BD5F1E"/>
    <w:rsid w:val="00BE433F"/>
    <w:rsid w:val="00BE477A"/>
    <w:rsid w:val="00BE4857"/>
    <w:rsid w:val="00BE6622"/>
    <w:rsid w:val="00BE6992"/>
    <w:rsid w:val="00BF0542"/>
    <w:rsid w:val="00BF1FF4"/>
    <w:rsid w:val="00BF3E3B"/>
    <w:rsid w:val="00BF47E5"/>
    <w:rsid w:val="00C003BF"/>
    <w:rsid w:val="00C02635"/>
    <w:rsid w:val="00C02CCC"/>
    <w:rsid w:val="00C03DC1"/>
    <w:rsid w:val="00C0519F"/>
    <w:rsid w:val="00C05AEF"/>
    <w:rsid w:val="00C0799F"/>
    <w:rsid w:val="00C115A1"/>
    <w:rsid w:val="00C16E30"/>
    <w:rsid w:val="00C208A9"/>
    <w:rsid w:val="00C20FCF"/>
    <w:rsid w:val="00C25476"/>
    <w:rsid w:val="00C255EE"/>
    <w:rsid w:val="00C263BE"/>
    <w:rsid w:val="00C269CD"/>
    <w:rsid w:val="00C3081D"/>
    <w:rsid w:val="00C31FCE"/>
    <w:rsid w:val="00C32F7C"/>
    <w:rsid w:val="00C3396B"/>
    <w:rsid w:val="00C34499"/>
    <w:rsid w:val="00C34C2E"/>
    <w:rsid w:val="00C35856"/>
    <w:rsid w:val="00C40F0B"/>
    <w:rsid w:val="00C42CF1"/>
    <w:rsid w:val="00C44338"/>
    <w:rsid w:val="00C44A18"/>
    <w:rsid w:val="00C4578B"/>
    <w:rsid w:val="00C46FEE"/>
    <w:rsid w:val="00C473A4"/>
    <w:rsid w:val="00C50B69"/>
    <w:rsid w:val="00C5296C"/>
    <w:rsid w:val="00C53019"/>
    <w:rsid w:val="00C53FB1"/>
    <w:rsid w:val="00C54B22"/>
    <w:rsid w:val="00C569D3"/>
    <w:rsid w:val="00C56AD8"/>
    <w:rsid w:val="00C63828"/>
    <w:rsid w:val="00C6616C"/>
    <w:rsid w:val="00C67A6A"/>
    <w:rsid w:val="00C67F0D"/>
    <w:rsid w:val="00C7148E"/>
    <w:rsid w:val="00C72E7E"/>
    <w:rsid w:val="00C74C77"/>
    <w:rsid w:val="00C75A7A"/>
    <w:rsid w:val="00C7669B"/>
    <w:rsid w:val="00C82954"/>
    <w:rsid w:val="00C8333D"/>
    <w:rsid w:val="00C91B51"/>
    <w:rsid w:val="00C93561"/>
    <w:rsid w:val="00C959F3"/>
    <w:rsid w:val="00C96718"/>
    <w:rsid w:val="00CA488A"/>
    <w:rsid w:val="00CA5925"/>
    <w:rsid w:val="00CA6893"/>
    <w:rsid w:val="00CA6ED3"/>
    <w:rsid w:val="00CA7FC1"/>
    <w:rsid w:val="00CB096C"/>
    <w:rsid w:val="00CB1D4A"/>
    <w:rsid w:val="00CB2899"/>
    <w:rsid w:val="00CB3712"/>
    <w:rsid w:val="00CB455C"/>
    <w:rsid w:val="00CB561C"/>
    <w:rsid w:val="00CB669A"/>
    <w:rsid w:val="00CC0C9B"/>
    <w:rsid w:val="00CC46EF"/>
    <w:rsid w:val="00CC4872"/>
    <w:rsid w:val="00CC5FFA"/>
    <w:rsid w:val="00CC6889"/>
    <w:rsid w:val="00CC6964"/>
    <w:rsid w:val="00CD1FBF"/>
    <w:rsid w:val="00CD20D3"/>
    <w:rsid w:val="00CD22F3"/>
    <w:rsid w:val="00CD44BC"/>
    <w:rsid w:val="00CD6080"/>
    <w:rsid w:val="00CD7058"/>
    <w:rsid w:val="00CD7714"/>
    <w:rsid w:val="00CE186F"/>
    <w:rsid w:val="00CE1F44"/>
    <w:rsid w:val="00CE506B"/>
    <w:rsid w:val="00CF150B"/>
    <w:rsid w:val="00CF2C8F"/>
    <w:rsid w:val="00CF4B56"/>
    <w:rsid w:val="00CF7C4C"/>
    <w:rsid w:val="00D00CD6"/>
    <w:rsid w:val="00D00F76"/>
    <w:rsid w:val="00D02680"/>
    <w:rsid w:val="00D053FA"/>
    <w:rsid w:val="00D1151A"/>
    <w:rsid w:val="00D11EAE"/>
    <w:rsid w:val="00D12BFE"/>
    <w:rsid w:val="00D136B0"/>
    <w:rsid w:val="00D17317"/>
    <w:rsid w:val="00D2048C"/>
    <w:rsid w:val="00D2069F"/>
    <w:rsid w:val="00D217E0"/>
    <w:rsid w:val="00D243D7"/>
    <w:rsid w:val="00D27362"/>
    <w:rsid w:val="00D31261"/>
    <w:rsid w:val="00D31CB3"/>
    <w:rsid w:val="00D34F7C"/>
    <w:rsid w:val="00D36336"/>
    <w:rsid w:val="00D37FF6"/>
    <w:rsid w:val="00D451AE"/>
    <w:rsid w:val="00D45DCE"/>
    <w:rsid w:val="00D45ECE"/>
    <w:rsid w:val="00D5204C"/>
    <w:rsid w:val="00D52411"/>
    <w:rsid w:val="00D52F82"/>
    <w:rsid w:val="00D546DC"/>
    <w:rsid w:val="00D54907"/>
    <w:rsid w:val="00D554AC"/>
    <w:rsid w:val="00D55773"/>
    <w:rsid w:val="00D568AB"/>
    <w:rsid w:val="00D6317F"/>
    <w:rsid w:val="00D633B1"/>
    <w:rsid w:val="00D63D17"/>
    <w:rsid w:val="00D653D8"/>
    <w:rsid w:val="00D654E8"/>
    <w:rsid w:val="00D6584F"/>
    <w:rsid w:val="00D668F4"/>
    <w:rsid w:val="00D72195"/>
    <w:rsid w:val="00D7372B"/>
    <w:rsid w:val="00D73734"/>
    <w:rsid w:val="00D737C2"/>
    <w:rsid w:val="00D7478D"/>
    <w:rsid w:val="00D76F53"/>
    <w:rsid w:val="00D76FDF"/>
    <w:rsid w:val="00D77F10"/>
    <w:rsid w:val="00D8724D"/>
    <w:rsid w:val="00D904D4"/>
    <w:rsid w:val="00D9169A"/>
    <w:rsid w:val="00D969E9"/>
    <w:rsid w:val="00D97344"/>
    <w:rsid w:val="00DA088E"/>
    <w:rsid w:val="00DA08F6"/>
    <w:rsid w:val="00DA149E"/>
    <w:rsid w:val="00DA34E4"/>
    <w:rsid w:val="00DB0C33"/>
    <w:rsid w:val="00DB11AD"/>
    <w:rsid w:val="00DB3427"/>
    <w:rsid w:val="00DB4466"/>
    <w:rsid w:val="00DB64CB"/>
    <w:rsid w:val="00DC440F"/>
    <w:rsid w:val="00DC4B2A"/>
    <w:rsid w:val="00DC5824"/>
    <w:rsid w:val="00DC5F7D"/>
    <w:rsid w:val="00DC694F"/>
    <w:rsid w:val="00DC7FF7"/>
    <w:rsid w:val="00DD1692"/>
    <w:rsid w:val="00DD294F"/>
    <w:rsid w:val="00DD6243"/>
    <w:rsid w:val="00DD7F4F"/>
    <w:rsid w:val="00DE0A17"/>
    <w:rsid w:val="00DE0B3F"/>
    <w:rsid w:val="00DE14A6"/>
    <w:rsid w:val="00DE3AB8"/>
    <w:rsid w:val="00DE3C25"/>
    <w:rsid w:val="00DE6C59"/>
    <w:rsid w:val="00DE7CDC"/>
    <w:rsid w:val="00DF4B99"/>
    <w:rsid w:val="00DF75ED"/>
    <w:rsid w:val="00E00DB9"/>
    <w:rsid w:val="00E04A51"/>
    <w:rsid w:val="00E05267"/>
    <w:rsid w:val="00E06665"/>
    <w:rsid w:val="00E07D6D"/>
    <w:rsid w:val="00E12366"/>
    <w:rsid w:val="00E12CF8"/>
    <w:rsid w:val="00E14642"/>
    <w:rsid w:val="00E1593B"/>
    <w:rsid w:val="00E214B3"/>
    <w:rsid w:val="00E2243A"/>
    <w:rsid w:val="00E24C03"/>
    <w:rsid w:val="00E26D5E"/>
    <w:rsid w:val="00E3061D"/>
    <w:rsid w:val="00E313A6"/>
    <w:rsid w:val="00E3548C"/>
    <w:rsid w:val="00E36812"/>
    <w:rsid w:val="00E37E9F"/>
    <w:rsid w:val="00E429AE"/>
    <w:rsid w:val="00E43689"/>
    <w:rsid w:val="00E46701"/>
    <w:rsid w:val="00E4778E"/>
    <w:rsid w:val="00E5257E"/>
    <w:rsid w:val="00E52881"/>
    <w:rsid w:val="00E54DAF"/>
    <w:rsid w:val="00E557D5"/>
    <w:rsid w:val="00E55D23"/>
    <w:rsid w:val="00E57DEE"/>
    <w:rsid w:val="00E6022F"/>
    <w:rsid w:val="00E60B7E"/>
    <w:rsid w:val="00E6109F"/>
    <w:rsid w:val="00E630AA"/>
    <w:rsid w:val="00E66074"/>
    <w:rsid w:val="00E71291"/>
    <w:rsid w:val="00E716B8"/>
    <w:rsid w:val="00E76266"/>
    <w:rsid w:val="00E815FD"/>
    <w:rsid w:val="00E816B4"/>
    <w:rsid w:val="00E8193A"/>
    <w:rsid w:val="00E8240F"/>
    <w:rsid w:val="00E829A4"/>
    <w:rsid w:val="00E82B0D"/>
    <w:rsid w:val="00E846E6"/>
    <w:rsid w:val="00E8573F"/>
    <w:rsid w:val="00E9104F"/>
    <w:rsid w:val="00E940B2"/>
    <w:rsid w:val="00E94DF1"/>
    <w:rsid w:val="00E97010"/>
    <w:rsid w:val="00E97202"/>
    <w:rsid w:val="00EA214E"/>
    <w:rsid w:val="00EA36F1"/>
    <w:rsid w:val="00EA4E4D"/>
    <w:rsid w:val="00EA60BF"/>
    <w:rsid w:val="00EB1C8C"/>
    <w:rsid w:val="00EB3B41"/>
    <w:rsid w:val="00EB533F"/>
    <w:rsid w:val="00EB5990"/>
    <w:rsid w:val="00EB5E71"/>
    <w:rsid w:val="00EC1F67"/>
    <w:rsid w:val="00EC5493"/>
    <w:rsid w:val="00EC7DB8"/>
    <w:rsid w:val="00ED085B"/>
    <w:rsid w:val="00ED08B8"/>
    <w:rsid w:val="00ED3297"/>
    <w:rsid w:val="00ED417A"/>
    <w:rsid w:val="00ED4992"/>
    <w:rsid w:val="00EE103D"/>
    <w:rsid w:val="00EE6AEC"/>
    <w:rsid w:val="00EE7D24"/>
    <w:rsid w:val="00EF0CC0"/>
    <w:rsid w:val="00EF4029"/>
    <w:rsid w:val="00EF781E"/>
    <w:rsid w:val="00F004F1"/>
    <w:rsid w:val="00F0085E"/>
    <w:rsid w:val="00F01DD6"/>
    <w:rsid w:val="00F07535"/>
    <w:rsid w:val="00F077C2"/>
    <w:rsid w:val="00F102AA"/>
    <w:rsid w:val="00F10BC8"/>
    <w:rsid w:val="00F13FBC"/>
    <w:rsid w:val="00F14533"/>
    <w:rsid w:val="00F22456"/>
    <w:rsid w:val="00F22A22"/>
    <w:rsid w:val="00F22B58"/>
    <w:rsid w:val="00F23EB0"/>
    <w:rsid w:val="00F27355"/>
    <w:rsid w:val="00F277A2"/>
    <w:rsid w:val="00F3069A"/>
    <w:rsid w:val="00F30C94"/>
    <w:rsid w:val="00F402EA"/>
    <w:rsid w:val="00F40D79"/>
    <w:rsid w:val="00F436B1"/>
    <w:rsid w:val="00F43CB4"/>
    <w:rsid w:val="00F440FD"/>
    <w:rsid w:val="00F449B3"/>
    <w:rsid w:val="00F46266"/>
    <w:rsid w:val="00F51B86"/>
    <w:rsid w:val="00F52B22"/>
    <w:rsid w:val="00F53AAE"/>
    <w:rsid w:val="00F54673"/>
    <w:rsid w:val="00F56563"/>
    <w:rsid w:val="00F60275"/>
    <w:rsid w:val="00F60AC1"/>
    <w:rsid w:val="00F61430"/>
    <w:rsid w:val="00F632D8"/>
    <w:rsid w:val="00F64647"/>
    <w:rsid w:val="00F72F8C"/>
    <w:rsid w:val="00F737AB"/>
    <w:rsid w:val="00F76F95"/>
    <w:rsid w:val="00F80829"/>
    <w:rsid w:val="00F82B0E"/>
    <w:rsid w:val="00F84240"/>
    <w:rsid w:val="00F863A3"/>
    <w:rsid w:val="00F87464"/>
    <w:rsid w:val="00F93A2E"/>
    <w:rsid w:val="00F94B06"/>
    <w:rsid w:val="00FA125A"/>
    <w:rsid w:val="00FA1AB0"/>
    <w:rsid w:val="00FA4268"/>
    <w:rsid w:val="00FA6E62"/>
    <w:rsid w:val="00FA7D3E"/>
    <w:rsid w:val="00FB3894"/>
    <w:rsid w:val="00FB4689"/>
    <w:rsid w:val="00FB5FEA"/>
    <w:rsid w:val="00FC1C7B"/>
    <w:rsid w:val="00FC28F1"/>
    <w:rsid w:val="00FC43FA"/>
    <w:rsid w:val="00FC4EA2"/>
    <w:rsid w:val="00FC57DF"/>
    <w:rsid w:val="00FC5BB2"/>
    <w:rsid w:val="00FD0724"/>
    <w:rsid w:val="00FD2A48"/>
    <w:rsid w:val="00FD436C"/>
    <w:rsid w:val="00FD47BF"/>
    <w:rsid w:val="00FD5193"/>
    <w:rsid w:val="00FD7221"/>
    <w:rsid w:val="00FE4382"/>
    <w:rsid w:val="00FE53ED"/>
    <w:rsid w:val="00FE62EA"/>
    <w:rsid w:val="00FE727F"/>
    <w:rsid w:val="00FE79BB"/>
    <w:rsid w:val="00FF3E9E"/>
    <w:rsid w:val="00FF43F1"/>
    <w:rsid w:val="00FF4BE5"/>
    <w:rsid w:val="00FF60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3EC331"/>
  <w14:defaultImageDpi w14:val="300"/>
  <w15:docId w15:val="{4600F4CB-ECC5-412F-9DC7-A48CC76D3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2FA"/>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zh-CN"/>
    </w:rPr>
  </w:style>
  <w:style w:type="paragraph" w:styleId="Heading2">
    <w:name w:val="heading 2"/>
    <w:basedOn w:val="Normal"/>
    <w:next w:val="Normal"/>
    <w:link w:val="Heading2Char"/>
    <w:uiPriority w:val="9"/>
    <w:unhideWhenUsed/>
    <w:qFormat/>
    <w:rsid w:val="000462FA"/>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1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104F"/>
    <w:rPr>
      <w:rFonts w:ascii="Lucida Grande" w:hAnsi="Lucida Grande" w:cs="Lucida Grande"/>
      <w:sz w:val="18"/>
      <w:szCs w:val="18"/>
    </w:rPr>
  </w:style>
  <w:style w:type="paragraph" w:customStyle="1" w:styleId="Bluehead">
    <w:name w:val="Blue head"/>
    <w:qFormat/>
    <w:rsid w:val="00F51B86"/>
    <w:pPr>
      <w:spacing w:line="550" w:lineRule="exact"/>
      <w:jc w:val="center"/>
    </w:pPr>
    <w:rPr>
      <w:rFonts w:ascii="Arial" w:hAnsi="Arial"/>
      <w:b/>
      <w:color w:val="5091CD"/>
      <w:spacing w:val="10"/>
      <w:sz w:val="55"/>
      <w:szCs w:val="55"/>
    </w:rPr>
  </w:style>
  <w:style w:type="paragraph" w:customStyle="1" w:styleId="Bluehead2">
    <w:name w:val="Blue head 2"/>
    <w:qFormat/>
    <w:rsid w:val="00F72F8C"/>
    <w:pPr>
      <w:spacing w:line="520" w:lineRule="exact"/>
    </w:pPr>
    <w:rPr>
      <w:rFonts w:ascii="Arial" w:hAnsi="Arial"/>
      <w:b/>
      <w:bCs/>
      <w:color w:val="5091CD"/>
      <w:spacing w:val="10"/>
      <w:sz w:val="46"/>
      <w:szCs w:val="46"/>
    </w:rPr>
  </w:style>
  <w:style w:type="paragraph" w:customStyle="1" w:styleId="Subtitle1">
    <w:name w:val="Subtitle1"/>
    <w:qFormat/>
    <w:rsid w:val="003965F6"/>
    <w:pPr>
      <w:spacing w:line="320" w:lineRule="exact"/>
    </w:pPr>
    <w:rPr>
      <w:rFonts w:ascii="Arial" w:hAnsi="Arial"/>
      <w:b/>
      <w:bCs/>
      <w:color w:val="5091CD"/>
      <w:spacing w:val="10"/>
      <w:sz w:val="28"/>
      <w:szCs w:val="46"/>
    </w:rPr>
  </w:style>
  <w:style w:type="paragraph" w:customStyle="1" w:styleId="YEAR">
    <w:name w:val="YEAR"/>
    <w:qFormat/>
    <w:rsid w:val="00F53AAE"/>
    <w:pPr>
      <w:spacing w:line="280" w:lineRule="exact"/>
    </w:pPr>
    <w:rPr>
      <w:rFonts w:ascii="Arial" w:hAnsi="Arial"/>
      <w:color w:val="5091CD"/>
      <w:spacing w:val="20"/>
      <w:sz w:val="16"/>
      <w:szCs w:val="16"/>
    </w:rPr>
  </w:style>
  <w:style w:type="paragraph" w:customStyle="1" w:styleId="Whitehead2">
    <w:name w:val="White head 2"/>
    <w:basedOn w:val="Bluehead2"/>
    <w:qFormat/>
    <w:rsid w:val="007C1EED"/>
    <w:rPr>
      <w:color w:val="FFFFFF" w:themeColor="background1"/>
    </w:rPr>
  </w:style>
  <w:style w:type="paragraph" w:customStyle="1" w:styleId="SUBTITLEWHITE">
    <w:name w:val="SUBTITLE WHITE"/>
    <w:basedOn w:val="Subtitle1"/>
    <w:autoRedefine/>
    <w:qFormat/>
    <w:rsid w:val="007C1EED"/>
    <w:rPr>
      <w:color w:val="FFFFFF" w:themeColor="background1"/>
    </w:rPr>
  </w:style>
  <w:style w:type="paragraph" w:customStyle="1" w:styleId="YEARWHITE">
    <w:name w:val="YEAR WHITE"/>
    <w:basedOn w:val="YEAR"/>
    <w:qFormat/>
    <w:rsid w:val="00D7372B"/>
    <w:rPr>
      <w:color w:val="FFFFFF" w:themeColor="background1"/>
    </w:rPr>
  </w:style>
  <w:style w:type="paragraph" w:customStyle="1" w:styleId="HEADPG8">
    <w:name w:val="HEAD PG 8"/>
    <w:qFormat/>
    <w:rsid w:val="0020241E"/>
    <w:pPr>
      <w:spacing w:line="600" w:lineRule="exact"/>
    </w:pPr>
    <w:rPr>
      <w:rFonts w:ascii="Arial" w:hAnsi="Arial"/>
      <w:b/>
      <w:bCs/>
      <w:color w:val="5091CD"/>
      <w:spacing w:val="10"/>
      <w:sz w:val="52"/>
      <w:szCs w:val="52"/>
    </w:rPr>
  </w:style>
  <w:style w:type="paragraph" w:customStyle="1" w:styleId="headdwhite">
    <w:name w:val="head d white"/>
    <w:basedOn w:val="HEADPG8"/>
    <w:qFormat/>
    <w:rsid w:val="003D1182"/>
    <w:rPr>
      <w:color w:val="FFFFFF" w:themeColor="background1"/>
    </w:rPr>
  </w:style>
  <w:style w:type="paragraph" w:customStyle="1" w:styleId="Style1">
    <w:name w:val="Style1"/>
    <w:basedOn w:val="HEADPG8"/>
    <w:qFormat/>
    <w:rsid w:val="003E7ED8"/>
    <w:pPr>
      <w:tabs>
        <w:tab w:val="left" w:pos="1440"/>
        <w:tab w:val="left" w:leader="dot" w:pos="7200"/>
      </w:tabs>
      <w:spacing w:line="240" w:lineRule="auto"/>
    </w:pPr>
  </w:style>
  <w:style w:type="table" w:customStyle="1" w:styleId="TableGrid1">
    <w:name w:val="Table Grid1"/>
    <w:basedOn w:val="TableNormal"/>
    <w:next w:val="TableGrid"/>
    <w:uiPriority w:val="39"/>
    <w:rsid w:val="0019629B"/>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9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0911"/>
    <w:pPr>
      <w:tabs>
        <w:tab w:val="center" w:pos="4680"/>
        <w:tab w:val="right" w:pos="9360"/>
      </w:tabs>
    </w:pPr>
  </w:style>
  <w:style w:type="character" w:customStyle="1" w:styleId="HeaderChar">
    <w:name w:val="Header Char"/>
    <w:basedOn w:val="DefaultParagraphFont"/>
    <w:link w:val="Header"/>
    <w:uiPriority w:val="99"/>
    <w:rsid w:val="004E0911"/>
  </w:style>
  <w:style w:type="paragraph" w:styleId="Footer">
    <w:name w:val="footer"/>
    <w:basedOn w:val="Normal"/>
    <w:link w:val="FooterChar"/>
    <w:uiPriority w:val="99"/>
    <w:unhideWhenUsed/>
    <w:rsid w:val="004E0911"/>
    <w:pPr>
      <w:tabs>
        <w:tab w:val="center" w:pos="4680"/>
        <w:tab w:val="right" w:pos="9360"/>
      </w:tabs>
    </w:pPr>
  </w:style>
  <w:style w:type="character" w:customStyle="1" w:styleId="FooterChar">
    <w:name w:val="Footer Char"/>
    <w:basedOn w:val="DefaultParagraphFont"/>
    <w:link w:val="Footer"/>
    <w:uiPriority w:val="99"/>
    <w:rsid w:val="004E0911"/>
  </w:style>
  <w:style w:type="character" w:customStyle="1" w:styleId="Heading1Char">
    <w:name w:val="Heading 1 Char"/>
    <w:basedOn w:val="DefaultParagraphFont"/>
    <w:link w:val="Heading1"/>
    <w:uiPriority w:val="9"/>
    <w:rsid w:val="000462FA"/>
    <w:rPr>
      <w:rFonts w:asciiTheme="majorHAnsi" w:eastAsiaTheme="majorEastAsia" w:hAnsiTheme="majorHAnsi" w:cstheme="majorBidi"/>
      <w:color w:val="365F91" w:themeColor="accent1" w:themeShade="BF"/>
      <w:sz w:val="32"/>
      <w:szCs w:val="32"/>
      <w:lang w:eastAsia="zh-CN"/>
    </w:rPr>
  </w:style>
  <w:style w:type="character" w:customStyle="1" w:styleId="Heading2Char">
    <w:name w:val="Heading 2 Char"/>
    <w:basedOn w:val="DefaultParagraphFont"/>
    <w:link w:val="Heading2"/>
    <w:uiPriority w:val="9"/>
    <w:rsid w:val="000462FA"/>
    <w:rPr>
      <w:rFonts w:asciiTheme="majorHAnsi" w:eastAsiaTheme="majorEastAsia" w:hAnsiTheme="majorHAnsi" w:cstheme="majorBidi"/>
      <w:color w:val="365F91" w:themeColor="accent1" w:themeShade="BF"/>
      <w:sz w:val="26"/>
      <w:szCs w:val="26"/>
      <w:lang w:eastAsia="zh-CN"/>
    </w:rPr>
  </w:style>
  <w:style w:type="character" w:styleId="Hyperlink">
    <w:name w:val="Hyperlink"/>
    <w:basedOn w:val="DefaultParagraphFont"/>
    <w:uiPriority w:val="99"/>
    <w:unhideWhenUsed/>
    <w:rsid w:val="00E429AE"/>
    <w:rPr>
      <w:color w:val="0563C1"/>
      <w:u w:val="single"/>
    </w:rPr>
  </w:style>
  <w:style w:type="character" w:styleId="UnresolvedMention">
    <w:name w:val="Unresolved Mention"/>
    <w:basedOn w:val="DefaultParagraphFont"/>
    <w:uiPriority w:val="99"/>
    <w:rsid w:val="005E335F"/>
    <w:rPr>
      <w:color w:val="605E5C"/>
      <w:shd w:val="clear" w:color="auto" w:fill="E1DFDD"/>
    </w:rPr>
  </w:style>
  <w:style w:type="character" w:styleId="CommentReference">
    <w:name w:val="annotation reference"/>
    <w:basedOn w:val="DefaultParagraphFont"/>
    <w:uiPriority w:val="99"/>
    <w:semiHidden/>
    <w:unhideWhenUsed/>
    <w:rsid w:val="000D16DB"/>
    <w:rPr>
      <w:sz w:val="16"/>
      <w:szCs w:val="16"/>
    </w:rPr>
  </w:style>
  <w:style w:type="paragraph" w:styleId="CommentText">
    <w:name w:val="annotation text"/>
    <w:basedOn w:val="Normal"/>
    <w:link w:val="CommentTextChar"/>
    <w:uiPriority w:val="99"/>
    <w:semiHidden/>
    <w:unhideWhenUsed/>
    <w:rsid w:val="000D16DB"/>
    <w:rPr>
      <w:sz w:val="20"/>
      <w:szCs w:val="20"/>
    </w:rPr>
  </w:style>
  <w:style w:type="character" w:customStyle="1" w:styleId="CommentTextChar">
    <w:name w:val="Comment Text Char"/>
    <w:basedOn w:val="DefaultParagraphFont"/>
    <w:link w:val="CommentText"/>
    <w:uiPriority w:val="99"/>
    <w:semiHidden/>
    <w:rsid w:val="000D16DB"/>
    <w:rPr>
      <w:sz w:val="20"/>
      <w:szCs w:val="20"/>
    </w:rPr>
  </w:style>
  <w:style w:type="paragraph" w:styleId="CommentSubject">
    <w:name w:val="annotation subject"/>
    <w:basedOn w:val="CommentText"/>
    <w:next w:val="CommentText"/>
    <w:link w:val="CommentSubjectChar"/>
    <w:uiPriority w:val="99"/>
    <w:semiHidden/>
    <w:unhideWhenUsed/>
    <w:rsid w:val="000D16DB"/>
    <w:rPr>
      <w:b/>
      <w:bCs/>
    </w:rPr>
  </w:style>
  <w:style w:type="character" w:customStyle="1" w:styleId="CommentSubjectChar">
    <w:name w:val="Comment Subject Char"/>
    <w:basedOn w:val="CommentTextChar"/>
    <w:link w:val="CommentSubject"/>
    <w:uiPriority w:val="99"/>
    <w:semiHidden/>
    <w:rsid w:val="000D16DB"/>
    <w:rPr>
      <w:b/>
      <w:bCs/>
      <w:sz w:val="20"/>
      <w:szCs w:val="20"/>
    </w:rPr>
  </w:style>
  <w:style w:type="paragraph" w:styleId="ListParagraph">
    <w:name w:val="List Paragraph"/>
    <w:basedOn w:val="Normal"/>
    <w:uiPriority w:val="34"/>
    <w:qFormat/>
    <w:rsid w:val="005D0CC3"/>
    <w:pPr>
      <w:ind w:left="720"/>
      <w:contextualSpacing/>
    </w:pPr>
  </w:style>
  <w:style w:type="character" w:customStyle="1" w:styleId="normaltextrun">
    <w:name w:val="normaltextrun"/>
    <w:basedOn w:val="DefaultParagraphFont"/>
    <w:rsid w:val="00CC46EF"/>
  </w:style>
  <w:style w:type="paragraph" w:styleId="FootnoteText">
    <w:name w:val="footnote text"/>
    <w:aliases w:val="ALTS FOOTNOTE,FOOTNOTES,Note de bas de page Car Car,Note de bas de page Car Car Car,Note de bas de page Car Car Car2,Note de bas de page Car Car Car3,Note de bas de page Car Car Car4,Note de bas de page2,f,fn,footnote text,ft,ADB"/>
    <w:basedOn w:val="Normal"/>
    <w:link w:val="FootnoteTextChar"/>
    <w:uiPriority w:val="99"/>
    <w:unhideWhenUsed/>
    <w:qFormat/>
    <w:rsid w:val="00CC46EF"/>
    <w:rPr>
      <w:rFonts w:eastAsiaTheme="minorHAnsi"/>
      <w:sz w:val="20"/>
      <w:szCs w:val="20"/>
    </w:rPr>
  </w:style>
  <w:style w:type="character" w:customStyle="1" w:styleId="FootnoteTextChar">
    <w:name w:val="Footnote Text Char"/>
    <w:aliases w:val="ALTS FOOTNOTE Char,FOOTNOTES Char,Note de bas de page Car Car Char,Note de bas de page Car Car Car Char,Note de bas de page Car Car Car2 Char,Note de bas de page Car Car Car3 Char,Note de bas de page Car Car Car4 Char,f Char,fn Char"/>
    <w:basedOn w:val="DefaultParagraphFont"/>
    <w:link w:val="FootnoteText"/>
    <w:uiPriority w:val="99"/>
    <w:qFormat/>
    <w:rsid w:val="00CC46EF"/>
    <w:rPr>
      <w:rFonts w:eastAsiaTheme="minorHAnsi"/>
      <w:sz w:val="20"/>
      <w:szCs w:val="20"/>
    </w:rPr>
  </w:style>
  <w:style w:type="character" w:styleId="FootnoteReference">
    <w:name w:val="footnote reference"/>
    <w:aliases w:val="ftref,Char Char Char Char Car Char,16 Point,Superscript 6 Point,Footnotes refss,Footnote Reference1,BVI fnr,Appel note de bas de page,Car Car Char Car Char Car Car Char Car Char Char,SUPERS,BVI f,R,Char Char, BVI fnr, Char Char,fr"/>
    <w:basedOn w:val="DefaultParagraphFont"/>
    <w:link w:val="CarattereCarattereCharCharCharCharCharCharZchn"/>
    <w:uiPriority w:val="99"/>
    <w:unhideWhenUsed/>
    <w:qFormat/>
    <w:rsid w:val="00CC46EF"/>
    <w:rPr>
      <w:vertAlign w:val="superscript"/>
    </w:rPr>
  </w:style>
  <w:style w:type="character" w:styleId="Emphasis">
    <w:name w:val="Emphasis"/>
    <w:basedOn w:val="DefaultParagraphFont"/>
    <w:uiPriority w:val="20"/>
    <w:qFormat/>
    <w:rsid w:val="00CC46EF"/>
    <w:rPr>
      <w:i/>
      <w:iC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CD22F3"/>
    <w:pPr>
      <w:spacing w:after="160" w:line="240" w:lineRule="exact"/>
      <w:jc w:val="both"/>
    </w:pPr>
    <w:rPr>
      <w:vertAlign w:val="superscript"/>
    </w:rPr>
  </w:style>
  <w:style w:type="character" w:styleId="FollowedHyperlink">
    <w:name w:val="FollowedHyperlink"/>
    <w:basedOn w:val="DefaultParagraphFont"/>
    <w:uiPriority w:val="99"/>
    <w:semiHidden/>
    <w:unhideWhenUsed/>
    <w:rsid w:val="00D31CB3"/>
    <w:rPr>
      <w:color w:val="800080" w:themeColor="followedHyperlink"/>
      <w:u w:val="single"/>
    </w:rPr>
  </w:style>
  <w:style w:type="character" w:customStyle="1" w:styleId="markedcontent">
    <w:name w:val="markedcontent"/>
    <w:basedOn w:val="DefaultParagraphFont"/>
    <w:rsid w:val="00946D83"/>
  </w:style>
  <w:style w:type="paragraph" w:styleId="NormalWeb">
    <w:name w:val="Normal (Web)"/>
    <w:basedOn w:val="Normal"/>
    <w:uiPriority w:val="99"/>
    <w:semiHidden/>
    <w:unhideWhenUsed/>
    <w:rsid w:val="00FF4BE5"/>
    <w:pPr>
      <w:spacing w:before="100" w:beforeAutospacing="1" w:after="100" w:afterAutospacing="1"/>
    </w:pPr>
    <w:rPr>
      <w:rFonts w:ascii="Times New Roman" w:eastAsia="Times New Roman" w:hAnsi="Times New Roman" w:cs="Times New Roman"/>
      <w:lang w:val="en-MU" w:eastAsia="en-M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87743">
      <w:bodyDiv w:val="1"/>
      <w:marLeft w:val="0"/>
      <w:marRight w:val="0"/>
      <w:marTop w:val="0"/>
      <w:marBottom w:val="0"/>
      <w:divBdr>
        <w:top w:val="none" w:sz="0" w:space="0" w:color="auto"/>
        <w:left w:val="none" w:sz="0" w:space="0" w:color="auto"/>
        <w:bottom w:val="none" w:sz="0" w:space="0" w:color="auto"/>
        <w:right w:val="none" w:sz="0" w:space="0" w:color="auto"/>
      </w:divBdr>
    </w:div>
    <w:div w:id="297808405">
      <w:bodyDiv w:val="1"/>
      <w:marLeft w:val="0"/>
      <w:marRight w:val="0"/>
      <w:marTop w:val="0"/>
      <w:marBottom w:val="0"/>
      <w:divBdr>
        <w:top w:val="none" w:sz="0" w:space="0" w:color="auto"/>
        <w:left w:val="none" w:sz="0" w:space="0" w:color="auto"/>
        <w:bottom w:val="none" w:sz="0" w:space="0" w:color="auto"/>
        <w:right w:val="none" w:sz="0" w:space="0" w:color="auto"/>
      </w:divBdr>
    </w:div>
    <w:div w:id="634987238">
      <w:bodyDiv w:val="1"/>
      <w:marLeft w:val="0"/>
      <w:marRight w:val="0"/>
      <w:marTop w:val="0"/>
      <w:marBottom w:val="0"/>
      <w:divBdr>
        <w:top w:val="none" w:sz="0" w:space="0" w:color="auto"/>
        <w:left w:val="none" w:sz="0" w:space="0" w:color="auto"/>
        <w:bottom w:val="none" w:sz="0" w:space="0" w:color="auto"/>
        <w:right w:val="none" w:sz="0" w:space="0" w:color="auto"/>
      </w:divBdr>
    </w:div>
    <w:div w:id="720985320">
      <w:bodyDiv w:val="1"/>
      <w:marLeft w:val="0"/>
      <w:marRight w:val="0"/>
      <w:marTop w:val="0"/>
      <w:marBottom w:val="0"/>
      <w:divBdr>
        <w:top w:val="none" w:sz="0" w:space="0" w:color="auto"/>
        <w:left w:val="none" w:sz="0" w:space="0" w:color="auto"/>
        <w:bottom w:val="none" w:sz="0" w:space="0" w:color="auto"/>
        <w:right w:val="none" w:sz="0" w:space="0" w:color="auto"/>
      </w:divBdr>
    </w:div>
    <w:div w:id="740641681">
      <w:bodyDiv w:val="1"/>
      <w:marLeft w:val="0"/>
      <w:marRight w:val="0"/>
      <w:marTop w:val="0"/>
      <w:marBottom w:val="0"/>
      <w:divBdr>
        <w:top w:val="none" w:sz="0" w:space="0" w:color="auto"/>
        <w:left w:val="none" w:sz="0" w:space="0" w:color="auto"/>
        <w:bottom w:val="none" w:sz="0" w:space="0" w:color="auto"/>
        <w:right w:val="none" w:sz="0" w:space="0" w:color="auto"/>
      </w:divBdr>
    </w:div>
    <w:div w:id="898398531">
      <w:bodyDiv w:val="1"/>
      <w:marLeft w:val="0"/>
      <w:marRight w:val="0"/>
      <w:marTop w:val="0"/>
      <w:marBottom w:val="0"/>
      <w:divBdr>
        <w:top w:val="none" w:sz="0" w:space="0" w:color="auto"/>
        <w:left w:val="none" w:sz="0" w:space="0" w:color="auto"/>
        <w:bottom w:val="none" w:sz="0" w:space="0" w:color="auto"/>
        <w:right w:val="none" w:sz="0" w:space="0" w:color="auto"/>
      </w:divBdr>
    </w:div>
    <w:div w:id="1021400660">
      <w:bodyDiv w:val="1"/>
      <w:marLeft w:val="0"/>
      <w:marRight w:val="0"/>
      <w:marTop w:val="0"/>
      <w:marBottom w:val="0"/>
      <w:divBdr>
        <w:top w:val="none" w:sz="0" w:space="0" w:color="auto"/>
        <w:left w:val="none" w:sz="0" w:space="0" w:color="auto"/>
        <w:bottom w:val="none" w:sz="0" w:space="0" w:color="auto"/>
        <w:right w:val="none" w:sz="0" w:space="0" w:color="auto"/>
      </w:divBdr>
    </w:div>
    <w:div w:id="1278567367">
      <w:bodyDiv w:val="1"/>
      <w:marLeft w:val="0"/>
      <w:marRight w:val="0"/>
      <w:marTop w:val="0"/>
      <w:marBottom w:val="0"/>
      <w:divBdr>
        <w:top w:val="none" w:sz="0" w:space="0" w:color="auto"/>
        <w:left w:val="none" w:sz="0" w:space="0" w:color="auto"/>
        <w:bottom w:val="none" w:sz="0" w:space="0" w:color="auto"/>
        <w:right w:val="none" w:sz="0" w:space="0" w:color="auto"/>
      </w:divBdr>
    </w:div>
    <w:div w:id="1415512579">
      <w:bodyDiv w:val="1"/>
      <w:marLeft w:val="0"/>
      <w:marRight w:val="0"/>
      <w:marTop w:val="0"/>
      <w:marBottom w:val="0"/>
      <w:divBdr>
        <w:top w:val="none" w:sz="0" w:space="0" w:color="auto"/>
        <w:left w:val="none" w:sz="0" w:space="0" w:color="auto"/>
        <w:bottom w:val="none" w:sz="0" w:space="0" w:color="auto"/>
        <w:right w:val="none" w:sz="0" w:space="0" w:color="auto"/>
      </w:divBdr>
    </w:div>
    <w:div w:id="1852715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bom.mu/markets/foreign-exchange/consolidated-indicative-exchange-rates?field_transaction_date_value%5Bvalue%5D%5Bdate%5D=01-10-2021&amp;field_transaction_date_value_1%5Bvalue%5D%5Bdate%5D=03-10-2022&amp;field_country_tid=39&amp;page=25" TargetMode="External"/><Relationship Id="rId39" Type="http://schemas.openxmlformats.org/officeDocument/2006/relationships/footer" Target="footer3.xml"/><Relationship Id="rId21" Type="http://schemas.openxmlformats.org/officeDocument/2006/relationships/chart" Target="charts/chart2.xml"/><Relationship Id="rId34" Type="http://schemas.openxmlformats.org/officeDocument/2006/relationships/header" Target="header1.xml"/><Relationship Id="rId42"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footer" Target="footer2.xml"/><Relationship Id="rId40" Type="http://schemas.openxmlformats.org/officeDocument/2006/relationships/hyperlink" Target="https://www.imf.org/en/Publications/WEO/weo-database/2022/October/download-entire-database"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worldbank.org/en/research/commodity-markets" TargetMode="External"/><Relationship Id="rId28" Type="http://schemas.openxmlformats.org/officeDocument/2006/relationships/chart" Target="charts/chart5.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yperlink" Target="https://www.imf.org/en/Publications/WEO/weo-database/2022/October/download-entire-databas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nsee.fr/en/statistiques/serie/010753754" TargetMode="External"/><Relationship Id="rId27" Type="http://schemas.openxmlformats.org/officeDocument/2006/relationships/hyperlink" Target="https://mof.govmu.org/Pages/Debt-Data.aspx" TargetMode="External"/><Relationship Id="rId30" Type="http://schemas.openxmlformats.org/officeDocument/2006/relationships/hyperlink" Target="https://viewpoint.eiu.com/analysis/article/1772424160?utm_source=mkt-newsletter&amp;utm_medium=email&amp;utm_campaign=Intelligence-today-03/10/2022&amp;utm_term=longer-term&amp;utm_content=anchor-1&amp;mkt_tok=NzUzLVJJUS00MzgAAAGHOvnC256_0KI0nEM0qQhS8Irb8-v6QAjD559ttZ8svRHQFL_Jx-6_jJ7CS2Ntllw5CWIgY6OZWZXsSHpcxDfzfYuwvpafTIeItAO0Vn7ycRt6dw" TargetMode="External"/><Relationship Id="rId35" Type="http://schemas.openxmlformats.org/officeDocument/2006/relationships/header" Target="header2.xml"/><Relationship Id="rId43" Type="http://schemas.openxmlformats.org/officeDocument/2006/relationships/image" Target="media/image12.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header" Target="header3.xml"/><Relationship Id="rId20" Type="http://schemas.openxmlformats.org/officeDocument/2006/relationships/chart" Target="charts/chart1.xml"/><Relationship Id="rId41" Type="http://schemas.openxmlformats.org/officeDocument/2006/relationships/hyperlink" Target="https://ine.cv/quadros/estatistica-do-mercado-trabalho-inquerito-multi-objetivo-continuo-202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6666"/>
                </a:solidFill>
                <a:latin typeface="+mj-lt"/>
                <a:ea typeface="+mn-ea"/>
                <a:cs typeface="+mn-cs"/>
              </a:defRPr>
            </a:pPr>
            <a:r>
              <a:rPr lang="pt-PT" sz="1050" b="1" noProof="0" dirty="0">
                <a:solidFill>
                  <a:srgbClr val="006666"/>
                </a:solidFill>
                <a:latin typeface="Arial" panose="020B0604020202020204" pitchFamily="34" charset="0"/>
                <a:cs typeface="Arial" panose="020B0604020202020204" pitchFamily="34" charset="0"/>
              </a:rPr>
              <a:t>Monthly prices over the last year – Food (USD/unit)</a:t>
            </a:r>
          </a:p>
        </c:rich>
      </c:tx>
      <c:layout>
        <c:manualLayout>
          <c:xMode val="edge"/>
          <c:yMode val="edge"/>
          <c:x val="0.15047635745936616"/>
          <c:y val="1.3547496846295023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6666"/>
              </a:solidFill>
              <a:latin typeface="+mj-lt"/>
              <a:ea typeface="+mn-ea"/>
              <a:cs typeface="+mn-cs"/>
            </a:defRPr>
          </a:pPr>
          <a:endParaRPr lang="en-MU"/>
        </a:p>
      </c:txPr>
    </c:title>
    <c:autoTitleDeleted val="0"/>
    <c:plotArea>
      <c:layout>
        <c:manualLayout>
          <c:layoutTarget val="inner"/>
          <c:xMode val="edge"/>
          <c:yMode val="edge"/>
          <c:x val="8.7724895906420783E-2"/>
          <c:y val="6.1619059760320768E-2"/>
          <c:w val="0.86736577394001535"/>
          <c:h val="0.69676025017952314"/>
        </c:manualLayout>
      </c:layout>
      <c:lineChart>
        <c:grouping val="standard"/>
        <c:varyColors val="0"/>
        <c:ser>
          <c:idx val="0"/>
          <c:order val="0"/>
          <c:tx>
            <c:strRef>
              <c:f>Sheet1!$B$1</c:f>
              <c:strCache>
                <c:ptCount val="1"/>
                <c:pt idx="0">
                  <c:v>Rice (ton)</c:v>
                </c:pt>
              </c:strCache>
            </c:strRef>
          </c:tx>
          <c:spPr>
            <a:ln w="28575" cap="rnd">
              <a:solidFill>
                <a:srgbClr val="00CC99"/>
              </a:solidFill>
              <a:prstDash val="solid"/>
              <a:round/>
            </a:ln>
            <a:effectLst/>
          </c:spPr>
          <c:marker>
            <c:symbol val="none"/>
          </c:marker>
          <c:cat>
            <c:numRef>
              <c:f>Sheet1!$A$2:$A$15</c:f>
              <c:numCache>
                <c:formatCode>mmm\-yy</c:formatCode>
                <c:ptCount val="14"/>
                <c:pt idx="0">
                  <c:v>44409</c:v>
                </c:pt>
                <c:pt idx="1">
                  <c:v>44440</c:v>
                </c:pt>
                <c:pt idx="2">
                  <c:v>44470</c:v>
                </c:pt>
                <c:pt idx="3">
                  <c:v>44501</c:v>
                </c:pt>
                <c:pt idx="4">
                  <c:v>44531</c:v>
                </c:pt>
                <c:pt idx="5">
                  <c:v>44562</c:v>
                </c:pt>
                <c:pt idx="6">
                  <c:v>44593</c:v>
                </c:pt>
                <c:pt idx="7">
                  <c:v>44621</c:v>
                </c:pt>
                <c:pt idx="8">
                  <c:v>44652</c:v>
                </c:pt>
                <c:pt idx="9">
                  <c:v>44682</c:v>
                </c:pt>
                <c:pt idx="10">
                  <c:v>44713</c:v>
                </c:pt>
                <c:pt idx="11">
                  <c:v>44743</c:v>
                </c:pt>
                <c:pt idx="12">
                  <c:v>44774</c:v>
                </c:pt>
                <c:pt idx="13">
                  <c:v>44805</c:v>
                </c:pt>
              </c:numCache>
            </c:numRef>
          </c:cat>
          <c:val>
            <c:numRef>
              <c:f>Sheet1!$B$2:$B$15</c:f>
              <c:numCache>
                <c:formatCode>0.00</c:formatCode>
                <c:ptCount val="14"/>
                <c:pt idx="0">
                  <c:v>403</c:v>
                </c:pt>
                <c:pt idx="1">
                  <c:v>400</c:v>
                </c:pt>
                <c:pt idx="2">
                  <c:v>401</c:v>
                </c:pt>
                <c:pt idx="3">
                  <c:v>400</c:v>
                </c:pt>
                <c:pt idx="4">
                  <c:v>400</c:v>
                </c:pt>
                <c:pt idx="5">
                  <c:v>427</c:v>
                </c:pt>
                <c:pt idx="6">
                  <c:v>427</c:v>
                </c:pt>
                <c:pt idx="7">
                  <c:v>422</c:v>
                </c:pt>
                <c:pt idx="8">
                  <c:v>431</c:v>
                </c:pt>
                <c:pt idx="9">
                  <c:v>464</c:v>
                </c:pt>
                <c:pt idx="10">
                  <c:v>444</c:v>
                </c:pt>
                <c:pt idx="11">
                  <c:v>418</c:v>
                </c:pt>
                <c:pt idx="12">
                  <c:v>431</c:v>
                </c:pt>
                <c:pt idx="13" formatCode="General">
                  <c:v>439</c:v>
                </c:pt>
              </c:numCache>
            </c:numRef>
          </c:val>
          <c:smooth val="0"/>
          <c:extLst>
            <c:ext xmlns:c16="http://schemas.microsoft.com/office/drawing/2014/chart" uri="{C3380CC4-5D6E-409C-BE32-E72D297353CC}">
              <c16:uniqueId val="{00000000-EB45-41D5-90D1-5E821BB39DC3}"/>
            </c:ext>
          </c:extLst>
        </c:ser>
        <c:ser>
          <c:idx val="1"/>
          <c:order val="1"/>
          <c:tx>
            <c:strRef>
              <c:f>Sheet1!$C$1</c:f>
              <c:strCache>
                <c:ptCount val="1"/>
                <c:pt idx="0">
                  <c:v>Wheat (ton)</c:v>
                </c:pt>
              </c:strCache>
            </c:strRef>
          </c:tx>
          <c:spPr>
            <a:ln w="28575" cap="rnd">
              <a:solidFill>
                <a:srgbClr val="FF0000"/>
              </a:solidFill>
              <a:prstDash val="solid"/>
              <a:round/>
            </a:ln>
            <a:effectLst/>
          </c:spPr>
          <c:marker>
            <c:symbol val="none"/>
          </c:marker>
          <c:cat>
            <c:numRef>
              <c:f>Sheet1!$A$2:$A$15</c:f>
              <c:numCache>
                <c:formatCode>mmm\-yy</c:formatCode>
                <c:ptCount val="14"/>
                <c:pt idx="0">
                  <c:v>44409</c:v>
                </c:pt>
                <c:pt idx="1">
                  <c:v>44440</c:v>
                </c:pt>
                <c:pt idx="2">
                  <c:v>44470</c:v>
                </c:pt>
                <c:pt idx="3">
                  <c:v>44501</c:v>
                </c:pt>
                <c:pt idx="4">
                  <c:v>44531</c:v>
                </c:pt>
                <c:pt idx="5">
                  <c:v>44562</c:v>
                </c:pt>
                <c:pt idx="6">
                  <c:v>44593</c:v>
                </c:pt>
                <c:pt idx="7">
                  <c:v>44621</c:v>
                </c:pt>
                <c:pt idx="8">
                  <c:v>44652</c:v>
                </c:pt>
                <c:pt idx="9">
                  <c:v>44682</c:v>
                </c:pt>
                <c:pt idx="10">
                  <c:v>44713</c:v>
                </c:pt>
                <c:pt idx="11">
                  <c:v>44743</c:v>
                </c:pt>
                <c:pt idx="12">
                  <c:v>44774</c:v>
                </c:pt>
                <c:pt idx="13">
                  <c:v>44805</c:v>
                </c:pt>
              </c:numCache>
            </c:numRef>
          </c:cat>
          <c:val>
            <c:numRef>
              <c:f>Sheet1!$C$2:$C$15</c:f>
              <c:numCache>
                <c:formatCode>0.00</c:formatCode>
                <c:ptCount val="14"/>
                <c:pt idx="0">
                  <c:v>324.52</c:v>
                </c:pt>
                <c:pt idx="1">
                  <c:v>337.55</c:v>
                </c:pt>
                <c:pt idx="2">
                  <c:v>354.67</c:v>
                </c:pt>
                <c:pt idx="3">
                  <c:v>379.45</c:v>
                </c:pt>
                <c:pt idx="4">
                  <c:v>376.81</c:v>
                </c:pt>
                <c:pt idx="5">
                  <c:v>374.24</c:v>
                </c:pt>
                <c:pt idx="6">
                  <c:v>390.5</c:v>
                </c:pt>
                <c:pt idx="7">
                  <c:v>486.3</c:v>
                </c:pt>
                <c:pt idx="8">
                  <c:v>495.28</c:v>
                </c:pt>
                <c:pt idx="9">
                  <c:v>522.29</c:v>
                </c:pt>
                <c:pt idx="10">
                  <c:v>459.59</c:v>
                </c:pt>
                <c:pt idx="11">
                  <c:v>382.5</c:v>
                </c:pt>
                <c:pt idx="12">
                  <c:v>382.86</c:v>
                </c:pt>
                <c:pt idx="13" formatCode="General">
                  <c:v>417.9</c:v>
                </c:pt>
              </c:numCache>
            </c:numRef>
          </c:val>
          <c:smooth val="0"/>
          <c:extLst>
            <c:ext xmlns:c16="http://schemas.microsoft.com/office/drawing/2014/chart" uri="{C3380CC4-5D6E-409C-BE32-E72D297353CC}">
              <c16:uniqueId val="{00000001-EB45-41D5-90D1-5E821BB39DC3}"/>
            </c:ext>
          </c:extLst>
        </c:ser>
        <c:ser>
          <c:idx val="2"/>
          <c:order val="2"/>
          <c:tx>
            <c:strRef>
              <c:f>Sheet1!$D$1</c:f>
              <c:strCache>
                <c:ptCount val="1"/>
                <c:pt idx="0">
                  <c:v>Tea (100kg)</c:v>
                </c:pt>
              </c:strCache>
            </c:strRef>
          </c:tx>
          <c:spPr>
            <a:ln w="28575" cap="rnd">
              <a:solidFill>
                <a:srgbClr val="FFCC00"/>
              </a:solidFill>
              <a:round/>
            </a:ln>
            <a:effectLst/>
          </c:spPr>
          <c:marker>
            <c:symbol val="none"/>
          </c:marker>
          <c:cat>
            <c:numRef>
              <c:f>Sheet1!$A$2:$A$15</c:f>
              <c:numCache>
                <c:formatCode>mmm\-yy</c:formatCode>
                <c:ptCount val="14"/>
                <c:pt idx="0">
                  <c:v>44409</c:v>
                </c:pt>
                <c:pt idx="1">
                  <c:v>44440</c:v>
                </c:pt>
                <c:pt idx="2">
                  <c:v>44470</c:v>
                </c:pt>
                <c:pt idx="3">
                  <c:v>44501</c:v>
                </c:pt>
                <c:pt idx="4">
                  <c:v>44531</c:v>
                </c:pt>
                <c:pt idx="5">
                  <c:v>44562</c:v>
                </c:pt>
                <c:pt idx="6">
                  <c:v>44593</c:v>
                </c:pt>
                <c:pt idx="7">
                  <c:v>44621</c:v>
                </c:pt>
                <c:pt idx="8">
                  <c:v>44652</c:v>
                </c:pt>
                <c:pt idx="9">
                  <c:v>44682</c:v>
                </c:pt>
                <c:pt idx="10">
                  <c:v>44713</c:v>
                </c:pt>
                <c:pt idx="11">
                  <c:v>44743</c:v>
                </c:pt>
                <c:pt idx="12">
                  <c:v>44774</c:v>
                </c:pt>
                <c:pt idx="13">
                  <c:v>44805</c:v>
                </c:pt>
              </c:numCache>
            </c:numRef>
          </c:cat>
          <c:val>
            <c:numRef>
              <c:f>Sheet1!$D$2:$D$15</c:f>
              <c:numCache>
                <c:formatCode>General</c:formatCode>
                <c:ptCount val="14"/>
                <c:pt idx="0">
                  <c:v>271.52308005025901</c:v>
                </c:pt>
                <c:pt idx="1">
                  <c:v>272.73601252136899</c:v>
                </c:pt>
                <c:pt idx="2">
                  <c:v>278.01812408545896</c:v>
                </c:pt>
                <c:pt idx="3">
                  <c:v>283.07637555831803</c:v>
                </c:pt>
                <c:pt idx="4">
                  <c:v>281.89078472553899</c:v>
                </c:pt>
                <c:pt idx="5">
                  <c:v>286.19020408702397</c:v>
                </c:pt>
                <c:pt idx="6">
                  <c:v>278.83590989481098</c:v>
                </c:pt>
                <c:pt idx="7">
                  <c:v>261.364854464036</c:v>
                </c:pt>
                <c:pt idx="8">
                  <c:v>324.066791571267</c:v>
                </c:pt>
                <c:pt idx="9">
                  <c:v>298.52499358062499</c:v>
                </c:pt>
                <c:pt idx="10">
                  <c:v>296.42773105764201</c:v>
                </c:pt>
                <c:pt idx="11">
                  <c:v>330.85736349961002</c:v>
                </c:pt>
                <c:pt idx="12">
                  <c:v>335.89785730395397</c:v>
                </c:pt>
                <c:pt idx="13" formatCode="0.00">
                  <c:v>332</c:v>
                </c:pt>
              </c:numCache>
            </c:numRef>
          </c:val>
          <c:smooth val="0"/>
          <c:extLst>
            <c:ext xmlns:c16="http://schemas.microsoft.com/office/drawing/2014/chart" uri="{C3380CC4-5D6E-409C-BE32-E72D297353CC}">
              <c16:uniqueId val="{00000002-EB45-41D5-90D1-5E821BB39DC3}"/>
            </c:ext>
          </c:extLst>
        </c:ser>
        <c:ser>
          <c:idx val="3"/>
          <c:order val="3"/>
          <c:tx>
            <c:strRef>
              <c:f>Sheet1!$E$1</c:f>
              <c:strCache>
                <c:ptCount val="1"/>
                <c:pt idx="0">
                  <c:v>Sunflower oil (100kg)</c:v>
                </c:pt>
              </c:strCache>
            </c:strRef>
          </c:tx>
          <c:spPr>
            <a:ln w="28575" cap="rnd">
              <a:solidFill>
                <a:srgbClr val="006699"/>
              </a:solidFill>
              <a:round/>
            </a:ln>
            <a:effectLst/>
          </c:spPr>
          <c:marker>
            <c:symbol val="none"/>
          </c:marker>
          <c:cat>
            <c:numRef>
              <c:f>Sheet1!$A$2:$A$15</c:f>
              <c:numCache>
                <c:formatCode>mmm\-yy</c:formatCode>
                <c:ptCount val="14"/>
                <c:pt idx="0">
                  <c:v>44409</c:v>
                </c:pt>
                <c:pt idx="1">
                  <c:v>44440</c:v>
                </c:pt>
                <c:pt idx="2">
                  <c:v>44470</c:v>
                </c:pt>
                <c:pt idx="3">
                  <c:v>44501</c:v>
                </c:pt>
                <c:pt idx="4">
                  <c:v>44531</c:v>
                </c:pt>
                <c:pt idx="5">
                  <c:v>44562</c:v>
                </c:pt>
                <c:pt idx="6">
                  <c:v>44593</c:v>
                </c:pt>
                <c:pt idx="7">
                  <c:v>44621</c:v>
                </c:pt>
                <c:pt idx="8">
                  <c:v>44652</c:v>
                </c:pt>
                <c:pt idx="9">
                  <c:v>44682</c:v>
                </c:pt>
                <c:pt idx="10">
                  <c:v>44713</c:v>
                </c:pt>
                <c:pt idx="11">
                  <c:v>44743</c:v>
                </c:pt>
                <c:pt idx="12">
                  <c:v>44774</c:v>
                </c:pt>
                <c:pt idx="13">
                  <c:v>44805</c:v>
                </c:pt>
              </c:numCache>
            </c:numRef>
          </c:cat>
          <c:val>
            <c:numRef>
              <c:f>Sheet1!$E$2:$E$15</c:f>
              <c:numCache>
                <c:formatCode>General</c:formatCode>
                <c:ptCount val="14"/>
                <c:pt idx="0">
                  <c:v>270</c:v>
                </c:pt>
                <c:pt idx="1">
                  <c:v>268</c:v>
                </c:pt>
                <c:pt idx="2">
                  <c:v>289</c:v>
                </c:pt>
                <c:pt idx="3">
                  <c:v>289</c:v>
                </c:pt>
                <c:pt idx="4">
                  <c:v>280</c:v>
                </c:pt>
                <c:pt idx="5">
                  <c:v>285.39999999999998</c:v>
                </c:pt>
                <c:pt idx="6">
                  <c:v>299.60000000000002</c:v>
                </c:pt>
                <c:pt idx="7">
                  <c:v>450</c:v>
                </c:pt>
                <c:pt idx="8">
                  <c:v>426</c:v>
                </c:pt>
                <c:pt idx="9">
                  <c:v>408.6</c:v>
                </c:pt>
                <c:pt idx="10">
                  <c:v>351.8</c:v>
                </c:pt>
                <c:pt idx="11">
                  <c:v>305.39999999999998</c:v>
                </c:pt>
                <c:pt idx="12">
                  <c:v>300.2</c:v>
                </c:pt>
                <c:pt idx="13" formatCode="0.00">
                  <c:v>260.39999999999998</c:v>
                </c:pt>
              </c:numCache>
            </c:numRef>
          </c:val>
          <c:smooth val="0"/>
          <c:extLst>
            <c:ext xmlns:c16="http://schemas.microsoft.com/office/drawing/2014/chart" uri="{C3380CC4-5D6E-409C-BE32-E72D297353CC}">
              <c16:uniqueId val="{00000003-EB45-41D5-90D1-5E821BB39DC3}"/>
            </c:ext>
          </c:extLst>
        </c:ser>
        <c:dLbls>
          <c:showLegendKey val="0"/>
          <c:showVal val="0"/>
          <c:showCatName val="0"/>
          <c:showSerName val="0"/>
          <c:showPercent val="0"/>
          <c:showBubbleSize val="0"/>
        </c:dLbls>
        <c:smooth val="0"/>
        <c:axId val="525662680"/>
        <c:axId val="525663008"/>
      </c:lineChart>
      <c:dateAx>
        <c:axId val="525662680"/>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rgbClr val="006666"/>
            </a:solidFill>
            <a:round/>
          </a:ln>
          <a:effectLst/>
        </c:spPr>
        <c:txPr>
          <a:bodyPr rot="-60000000" spcFirstLastPara="1" vertOverflow="ellipsis" vert="horz" wrap="square" anchor="ctr" anchorCtr="1"/>
          <a:lstStyle/>
          <a:p>
            <a:pPr>
              <a:defRPr sz="900" b="0" i="0" u="none" strike="noStrike" kern="1200" baseline="0">
                <a:solidFill>
                  <a:srgbClr val="006666"/>
                </a:solidFill>
                <a:latin typeface="+mj-lt"/>
                <a:ea typeface="+mn-ea"/>
                <a:cs typeface="+mn-cs"/>
              </a:defRPr>
            </a:pPr>
            <a:endParaRPr lang="en-MU"/>
          </a:p>
        </c:txPr>
        <c:crossAx val="525663008"/>
        <c:crosses val="autoZero"/>
        <c:auto val="1"/>
        <c:lblOffset val="100"/>
        <c:baseTimeUnit val="months"/>
      </c:dateAx>
      <c:valAx>
        <c:axId val="525663008"/>
        <c:scaling>
          <c:orientation val="minMax"/>
          <c:min val="250"/>
        </c:scaling>
        <c:delete val="0"/>
        <c:axPos val="l"/>
        <c:majorGridlines>
          <c:spPr>
            <a:ln w="9525" cap="flat" cmpd="sng" algn="ctr">
              <a:solidFill>
                <a:srgbClr val="006666"/>
              </a:solidFill>
              <a:round/>
            </a:ln>
            <a:effectLst/>
          </c:spPr>
        </c:majorGridlines>
        <c:numFmt formatCode="0" sourceLinked="0"/>
        <c:majorTickMark val="none"/>
        <c:minorTickMark val="none"/>
        <c:tickLblPos val="nextTo"/>
        <c:spPr>
          <a:noFill/>
          <a:ln>
            <a:solidFill>
              <a:srgbClr val="006666"/>
            </a:solidFill>
          </a:ln>
          <a:effectLst/>
        </c:spPr>
        <c:txPr>
          <a:bodyPr rot="-60000000" spcFirstLastPara="1" vertOverflow="ellipsis" vert="horz" wrap="square" anchor="ctr" anchorCtr="1"/>
          <a:lstStyle/>
          <a:p>
            <a:pPr>
              <a:defRPr sz="900" b="0" i="0" u="none" strike="noStrike" kern="1200" baseline="0">
                <a:solidFill>
                  <a:srgbClr val="006666"/>
                </a:solidFill>
                <a:latin typeface="+mj-lt"/>
                <a:ea typeface="+mn-ea"/>
                <a:cs typeface="+mn-cs"/>
              </a:defRPr>
            </a:pPr>
            <a:endParaRPr lang="en-MU"/>
          </a:p>
        </c:txPr>
        <c:crossAx val="525662680"/>
        <c:crosses val="autoZero"/>
        <c:crossBetween val="between"/>
      </c:valAx>
      <c:spPr>
        <a:noFill/>
        <a:ln>
          <a:noFill/>
        </a:ln>
        <a:effectLst/>
      </c:spPr>
    </c:plotArea>
    <c:legend>
      <c:legendPos val="b"/>
      <c:layout>
        <c:manualLayout>
          <c:xMode val="edge"/>
          <c:yMode val="edge"/>
          <c:x val="0.21246531942365926"/>
          <c:y val="0.87460133367964743"/>
          <c:w val="0.69664372947399067"/>
          <c:h val="0.1253986663203525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6666"/>
              </a:solidFill>
              <a:latin typeface="+mj-lt"/>
              <a:ea typeface="+mn-ea"/>
              <a:cs typeface="+mn-cs"/>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6666"/>
      </a:solidFill>
      <a:round/>
    </a:ln>
    <a:effectLst/>
  </c:spPr>
  <c:txPr>
    <a:bodyPr/>
    <a:lstStyle/>
    <a:p>
      <a:pPr>
        <a:defRPr/>
      </a:pPr>
      <a:endParaRPr lang="en-M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rgbClr val="006666"/>
                </a:solidFill>
                <a:latin typeface="+mj-lt"/>
                <a:ea typeface="+mn-ea"/>
                <a:cs typeface="+mn-cs"/>
              </a:defRPr>
            </a:pPr>
            <a:r>
              <a:rPr lang="pt-PT" sz="1100" b="1" noProof="0" dirty="0">
                <a:solidFill>
                  <a:srgbClr val="006666"/>
                </a:solidFill>
                <a:latin typeface="+mj-lt"/>
              </a:rPr>
              <a:t>Monthly prices over the last year – Energy (USD/unit)</a:t>
            </a:r>
          </a:p>
        </c:rich>
      </c:tx>
      <c:layout>
        <c:manualLayout>
          <c:xMode val="edge"/>
          <c:yMode val="edge"/>
          <c:x val="0.17071927243912324"/>
          <c:y val="7.763806852078713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rgbClr val="006666"/>
              </a:solidFill>
              <a:latin typeface="+mj-lt"/>
              <a:ea typeface="+mn-ea"/>
              <a:cs typeface="+mn-cs"/>
            </a:defRPr>
          </a:pPr>
          <a:endParaRPr lang="en-MU"/>
        </a:p>
      </c:txPr>
    </c:title>
    <c:autoTitleDeleted val="0"/>
    <c:plotArea>
      <c:layout>
        <c:manualLayout>
          <c:layoutTarget val="inner"/>
          <c:xMode val="edge"/>
          <c:yMode val="edge"/>
          <c:x val="8.7724895906420783E-2"/>
          <c:y val="6.1619059760320768E-2"/>
          <c:w val="0.87656959801697243"/>
          <c:h val="0.77790325009141559"/>
        </c:manualLayout>
      </c:layout>
      <c:lineChart>
        <c:grouping val="standard"/>
        <c:varyColors val="0"/>
        <c:ser>
          <c:idx val="0"/>
          <c:order val="0"/>
          <c:tx>
            <c:strRef>
              <c:f>Sheet1!$B$1</c:f>
              <c:strCache>
                <c:ptCount val="1"/>
                <c:pt idx="0">
                  <c:v>Oil (barrel)</c:v>
                </c:pt>
              </c:strCache>
            </c:strRef>
          </c:tx>
          <c:spPr>
            <a:ln w="28575" cap="rnd">
              <a:solidFill>
                <a:srgbClr val="009999"/>
              </a:solidFill>
              <a:prstDash val="solid"/>
              <a:round/>
            </a:ln>
            <a:effectLst/>
          </c:spPr>
          <c:marker>
            <c:symbol val="none"/>
          </c:marker>
          <c:cat>
            <c:numRef>
              <c:f>Sheet1!$A$2:$A$15</c:f>
              <c:numCache>
                <c:formatCode>mmm\-yy</c:formatCode>
                <c:ptCount val="14"/>
                <c:pt idx="0">
                  <c:v>44409</c:v>
                </c:pt>
                <c:pt idx="1">
                  <c:v>44440</c:v>
                </c:pt>
                <c:pt idx="2">
                  <c:v>44470</c:v>
                </c:pt>
                <c:pt idx="3">
                  <c:v>44501</c:v>
                </c:pt>
                <c:pt idx="4">
                  <c:v>44531</c:v>
                </c:pt>
                <c:pt idx="5">
                  <c:v>44562</c:v>
                </c:pt>
                <c:pt idx="6">
                  <c:v>44593</c:v>
                </c:pt>
                <c:pt idx="7">
                  <c:v>44621</c:v>
                </c:pt>
                <c:pt idx="8">
                  <c:v>44652</c:v>
                </c:pt>
                <c:pt idx="9">
                  <c:v>44682</c:v>
                </c:pt>
                <c:pt idx="10">
                  <c:v>44713</c:v>
                </c:pt>
                <c:pt idx="11">
                  <c:v>44743</c:v>
                </c:pt>
                <c:pt idx="12">
                  <c:v>44774</c:v>
                </c:pt>
                <c:pt idx="13">
                  <c:v>44805</c:v>
                </c:pt>
              </c:numCache>
            </c:numRef>
          </c:cat>
          <c:val>
            <c:numRef>
              <c:f>Sheet1!$B$2:$B$15</c:f>
              <c:numCache>
                <c:formatCode>0.00</c:formatCode>
                <c:ptCount val="14"/>
                <c:pt idx="0">
                  <c:v>70.02</c:v>
                </c:pt>
                <c:pt idx="1">
                  <c:v>74.599999999999994</c:v>
                </c:pt>
                <c:pt idx="2">
                  <c:v>83.65</c:v>
                </c:pt>
                <c:pt idx="3">
                  <c:v>80.77</c:v>
                </c:pt>
                <c:pt idx="4">
                  <c:v>74.31</c:v>
                </c:pt>
                <c:pt idx="5">
                  <c:v>85.53</c:v>
                </c:pt>
                <c:pt idx="6">
                  <c:v>95.76</c:v>
                </c:pt>
                <c:pt idx="7">
                  <c:v>115.59</c:v>
                </c:pt>
                <c:pt idx="8">
                  <c:v>105.78</c:v>
                </c:pt>
                <c:pt idx="9">
                  <c:v>112.37</c:v>
                </c:pt>
                <c:pt idx="10">
                  <c:v>120.08</c:v>
                </c:pt>
                <c:pt idx="11">
                  <c:v>108.92</c:v>
                </c:pt>
                <c:pt idx="12">
                  <c:v>98.6</c:v>
                </c:pt>
                <c:pt idx="13" formatCode="General">
                  <c:v>90.2</c:v>
                </c:pt>
              </c:numCache>
            </c:numRef>
          </c:val>
          <c:smooth val="0"/>
          <c:extLst>
            <c:ext xmlns:c16="http://schemas.microsoft.com/office/drawing/2014/chart" uri="{C3380CC4-5D6E-409C-BE32-E72D297353CC}">
              <c16:uniqueId val="{00000000-5D68-40A7-A257-9E870015E5D5}"/>
            </c:ext>
          </c:extLst>
        </c:ser>
        <c:ser>
          <c:idx val="1"/>
          <c:order val="1"/>
          <c:tx>
            <c:strRef>
              <c:f>Sheet1!$C$1</c:f>
              <c:strCache>
                <c:ptCount val="1"/>
                <c:pt idx="0">
                  <c:v>Gas (MMBtu)</c:v>
                </c:pt>
              </c:strCache>
            </c:strRef>
          </c:tx>
          <c:spPr>
            <a:ln w="28575" cap="rnd">
              <a:solidFill>
                <a:srgbClr val="FF0066"/>
              </a:solidFill>
              <a:prstDash val="solid"/>
              <a:round/>
            </a:ln>
            <a:effectLst/>
          </c:spPr>
          <c:marker>
            <c:symbol val="none"/>
          </c:marker>
          <c:cat>
            <c:numRef>
              <c:f>Sheet1!$A$2:$A$15</c:f>
              <c:numCache>
                <c:formatCode>mmm\-yy</c:formatCode>
                <c:ptCount val="14"/>
                <c:pt idx="0">
                  <c:v>44409</c:v>
                </c:pt>
                <c:pt idx="1">
                  <c:v>44440</c:v>
                </c:pt>
                <c:pt idx="2">
                  <c:v>44470</c:v>
                </c:pt>
                <c:pt idx="3">
                  <c:v>44501</c:v>
                </c:pt>
                <c:pt idx="4">
                  <c:v>44531</c:v>
                </c:pt>
                <c:pt idx="5">
                  <c:v>44562</c:v>
                </c:pt>
                <c:pt idx="6">
                  <c:v>44593</c:v>
                </c:pt>
                <c:pt idx="7">
                  <c:v>44621</c:v>
                </c:pt>
                <c:pt idx="8">
                  <c:v>44652</c:v>
                </c:pt>
                <c:pt idx="9">
                  <c:v>44682</c:v>
                </c:pt>
                <c:pt idx="10">
                  <c:v>44713</c:v>
                </c:pt>
                <c:pt idx="11">
                  <c:v>44743</c:v>
                </c:pt>
                <c:pt idx="12">
                  <c:v>44774</c:v>
                </c:pt>
                <c:pt idx="13">
                  <c:v>44805</c:v>
                </c:pt>
              </c:numCache>
            </c:numRef>
          </c:cat>
          <c:val>
            <c:numRef>
              <c:f>Sheet1!$C$2:$C$15</c:f>
              <c:numCache>
                <c:formatCode>0.00</c:formatCode>
                <c:ptCount val="14"/>
                <c:pt idx="0">
                  <c:v>15.426475938433001</c:v>
                </c:pt>
                <c:pt idx="1">
                  <c:v>22.840596077917802</c:v>
                </c:pt>
                <c:pt idx="2">
                  <c:v>31.052466367535398</c:v>
                </c:pt>
                <c:pt idx="3">
                  <c:v>27.623432007753401</c:v>
                </c:pt>
                <c:pt idx="4">
                  <c:v>38.027119843181502</c:v>
                </c:pt>
                <c:pt idx="5">
                  <c:v>28.260673316546399</c:v>
                </c:pt>
                <c:pt idx="6">
                  <c:v>27.2297159066961</c:v>
                </c:pt>
                <c:pt idx="7">
                  <c:v>42.392970796121702</c:v>
                </c:pt>
                <c:pt idx="8">
                  <c:v>32.204187228707603</c:v>
                </c:pt>
                <c:pt idx="9">
                  <c:v>29.1707226738088</c:v>
                </c:pt>
                <c:pt idx="10">
                  <c:v>33.557731042754803</c:v>
                </c:pt>
                <c:pt idx="11">
                  <c:v>51.330030472975999</c:v>
                </c:pt>
                <c:pt idx="12">
                  <c:v>70.043639803389098</c:v>
                </c:pt>
                <c:pt idx="13" formatCode="General">
                  <c:v>59.1</c:v>
                </c:pt>
              </c:numCache>
            </c:numRef>
          </c:val>
          <c:smooth val="0"/>
          <c:extLst>
            <c:ext xmlns:c16="http://schemas.microsoft.com/office/drawing/2014/chart" uri="{C3380CC4-5D6E-409C-BE32-E72D297353CC}">
              <c16:uniqueId val="{00000001-5D68-40A7-A257-9E870015E5D5}"/>
            </c:ext>
          </c:extLst>
        </c:ser>
        <c:ser>
          <c:idx val="2"/>
          <c:order val="2"/>
          <c:tx>
            <c:strRef>
              <c:f>Sheet1!$D$1</c:f>
              <c:strCache>
                <c:ptCount val="1"/>
                <c:pt idx="0">
                  <c:v>Coal (100 kg)</c:v>
                </c:pt>
              </c:strCache>
            </c:strRef>
          </c:tx>
          <c:spPr>
            <a:ln w="28575" cap="rnd">
              <a:solidFill>
                <a:srgbClr val="FFFF00"/>
              </a:solidFill>
              <a:round/>
            </a:ln>
            <a:effectLst/>
          </c:spPr>
          <c:marker>
            <c:symbol val="none"/>
          </c:marker>
          <c:cat>
            <c:numRef>
              <c:f>Sheet1!$A$2:$A$15</c:f>
              <c:numCache>
                <c:formatCode>mmm\-yy</c:formatCode>
                <c:ptCount val="14"/>
                <c:pt idx="0">
                  <c:v>44409</c:v>
                </c:pt>
                <c:pt idx="1">
                  <c:v>44440</c:v>
                </c:pt>
                <c:pt idx="2">
                  <c:v>44470</c:v>
                </c:pt>
                <c:pt idx="3">
                  <c:v>44501</c:v>
                </c:pt>
                <c:pt idx="4">
                  <c:v>44531</c:v>
                </c:pt>
                <c:pt idx="5">
                  <c:v>44562</c:v>
                </c:pt>
                <c:pt idx="6">
                  <c:v>44593</c:v>
                </c:pt>
                <c:pt idx="7">
                  <c:v>44621</c:v>
                </c:pt>
                <c:pt idx="8">
                  <c:v>44652</c:v>
                </c:pt>
                <c:pt idx="9">
                  <c:v>44682</c:v>
                </c:pt>
                <c:pt idx="10">
                  <c:v>44713</c:v>
                </c:pt>
                <c:pt idx="11">
                  <c:v>44743</c:v>
                </c:pt>
                <c:pt idx="12">
                  <c:v>44774</c:v>
                </c:pt>
                <c:pt idx="13">
                  <c:v>44805</c:v>
                </c:pt>
              </c:numCache>
            </c:numRef>
          </c:cat>
          <c:val>
            <c:numRef>
              <c:f>Sheet1!$D$2:$D$15</c:f>
              <c:numCache>
                <c:formatCode>General</c:formatCode>
                <c:ptCount val="14"/>
                <c:pt idx="0">
                  <c:v>13.791999999999998</c:v>
                </c:pt>
                <c:pt idx="1">
                  <c:v>14.605275137829301</c:v>
                </c:pt>
                <c:pt idx="2">
                  <c:v>19.965</c:v>
                </c:pt>
                <c:pt idx="3">
                  <c:v>12.8</c:v>
                </c:pt>
                <c:pt idx="4">
                  <c:v>14.25</c:v>
                </c:pt>
                <c:pt idx="5">
                  <c:v>16.850000000000001</c:v>
                </c:pt>
                <c:pt idx="6">
                  <c:v>19.64</c:v>
                </c:pt>
                <c:pt idx="7">
                  <c:v>29.442</c:v>
                </c:pt>
                <c:pt idx="8">
                  <c:v>30.2</c:v>
                </c:pt>
                <c:pt idx="9">
                  <c:v>28</c:v>
                </c:pt>
                <c:pt idx="10">
                  <c:v>28.3</c:v>
                </c:pt>
                <c:pt idx="11">
                  <c:v>33</c:v>
                </c:pt>
                <c:pt idx="12">
                  <c:v>32.5</c:v>
                </c:pt>
                <c:pt idx="13" formatCode="0.00">
                  <c:v>32</c:v>
                </c:pt>
              </c:numCache>
            </c:numRef>
          </c:val>
          <c:smooth val="0"/>
          <c:extLst>
            <c:ext xmlns:c16="http://schemas.microsoft.com/office/drawing/2014/chart" uri="{C3380CC4-5D6E-409C-BE32-E72D297353CC}">
              <c16:uniqueId val="{00000002-5D68-40A7-A257-9E870015E5D5}"/>
            </c:ext>
          </c:extLst>
        </c:ser>
        <c:ser>
          <c:idx val="3"/>
          <c:order val="3"/>
          <c:tx>
            <c:strRef>
              <c:f>Sheet1!$E$1</c:f>
              <c:strCache>
                <c:ptCount val="1"/>
                <c:pt idx="0">
                  <c:v>LNG (MMBtu)</c:v>
                </c:pt>
              </c:strCache>
            </c:strRef>
          </c:tx>
          <c:spPr>
            <a:ln w="28575" cap="rnd">
              <a:solidFill>
                <a:srgbClr val="3333CC"/>
              </a:solidFill>
              <a:round/>
            </a:ln>
            <a:effectLst/>
          </c:spPr>
          <c:marker>
            <c:symbol val="none"/>
          </c:marker>
          <c:cat>
            <c:numRef>
              <c:f>Sheet1!$A$2:$A$15</c:f>
              <c:numCache>
                <c:formatCode>mmm\-yy</c:formatCode>
                <c:ptCount val="14"/>
                <c:pt idx="0">
                  <c:v>44409</c:v>
                </c:pt>
                <c:pt idx="1">
                  <c:v>44440</c:v>
                </c:pt>
                <c:pt idx="2">
                  <c:v>44470</c:v>
                </c:pt>
                <c:pt idx="3">
                  <c:v>44501</c:v>
                </c:pt>
                <c:pt idx="4">
                  <c:v>44531</c:v>
                </c:pt>
                <c:pt idx="5">
                  <c:v>44562</c:v>
                </c:pt>
                <c:pt idx="6">
                  <c:v>44593</c:v>
                </c:pt>
                <c:pt idx="7">
                  <c:v>44621</c:v>
                </c:pt>
                <c:pt idx="8">
                  <c:v>44652</c:v>
                </c:pt>
                <c:pt idx="9">
                  <c:v>44682</c:v>
                </c:pt>
                <c:pt idx="10">
                  <c:v>44713</c:v>
                </c:pt>
                <c:pt idx="11">
                  <c:v>44743</c:v>
                </c:pt>
                <c:pt idx="12">
                  <c:v>44774</c:v>
                </c:pt>
                <c:pt idx="13">
                  <c:v>44805</c:v>
                </c:pt>
              </c:numCache>
            </c:numRef>
          </c:cat>
          <c:val>
            <c:numRef>
              <c:f>Sheet1!$E$2:$E$15</c:f>
              <c:numCache>
                <c:formatCode>0.00</c:formatCode>
                <c:ptCount val="14"/>
                <c:pt idx="0">
                  <c:v>10.801396547466499</c:v>
                </c:pt>
                <c:pt idx="1">
                  <c:v>11.4389905040158</c:v>
                </c:pt>
                <c:pt idx="2">
                  <c:v>12.376915383399901</c:v>
                </c:pt>
                <c:pt idx="3">
                  <c:v>15.254002650883701</c:v>
                </c:pt>
                <c:pt idx="4">
                  <c:v>15.3225269158806</c:v>
                </c:pt>
                <c:pt idx="5">
                  <c:v>14.6857598073627</c:v>
                </c:pt>
                <c:pt idx="6">
                  <c:v>16.995238319595899</c:v>
                </c:pt>
                <c:pt idx="7">
                  <c:v>15.1113849544579</c:v>
                </c:pt>
                <c:pt idx="8">
                  <c:v>16.287523919005402</c:v>
                </c:pt>
                <c:pt idx="9">
                  <c:v>16.6790912879082</c:v>
                </c:pt>
                <c:pt idx="10">
                  <c:v>15.5339207133482</c:v>
                </c:pt>
                <c:pt idx="11">
                  <c:v>18.880754361281799</c:v>
                </c:pt>
                <c:pt idx="12">
                  <c:v>21.2</c:v>
                </c:pt>
                <c:pt idx="13">
                  <c:v>21.7</c:v>
                </c:pt>
              </c:numCache>
            </c:numRef>
          </c:val>
          <c:smooth val="0"/>
          <c:extLst>
            <c:ext xmlns:c16="http://schemas.microsoft.com/office/drawing/2014/chart" uri="{C3380CC4-5D6E-409C-BE32-E72D297353CC}">
              <c16:uniqueId val="{00000003-5D68-40A7-A257-9E870015E5D5}"/>
            </c:ext>
          </c:extLst>
        </c:ser>
        <c:dLbls>
          <c:showLegendKey val="0"/>
          <c:showVal val="0"/>
          <c:showCatName val="0"/>
          <c:showSerName val="0"/>
          <c:showPercent val="0"/>
          <c:showBubbleSize val="0"/>
        </c:dLbls>
        <c:smooth val="0"/>
        <c:axId val="525662680"/>
        <c:axId val="525663008"/>
      </c:lineChart>
      <c:dateAx>
        <c:axId val="525662680"/>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rgbClr val="006666"/>
            </a:solidFill>
            <a:round/>
          </a:ln>
          <a:effectLst/>
        </c:spPr>
        <c:txPr>
          <a:bodyPr rot="-60000000" spcFirstLastPara="1" vertOverflow="ellipsis" vert="horz" wrap="square" anchor="ctr" anchorCtr="1"/>
          <a:lstStyle/>
          <a:p>
            <a:pPr>
              <a:defRPr sz="900" b="0" i="0" u="none" strike="noStrike" kern="1200" baseline="0">
                <a:solidFill>
                  <a:srgbClr val="006666"/>
                </a:solidFill>
                <a:latin typeface="+mj-lt"/>
                <a:ea typeface="+mn-ea"/>
                <a:cs typeface="+mn-cs"/>
              </a:defRPr>
            </a:pPr>
            <a:endParaRPr lang="en-MU"/>
          </a:p>
        </c:txPr>
        <c:crossAx val="525663008"/>
        <c:crosses val="autoZero"/>
        <c:auto val="1"/>
        <c:lblOffset val="100"/>
        <c:baseTimeUnit val="months"/>
      </c:dateAx>
      <c:valAx>
        <c:axId val="525663008"/>
        <c:scaling>
          <c:orientation val="minMax"/>
        </c:scaling>
        <c:delete val="0"/>
        <c:axPos val="l"/>
        <c:majorGridlines>
          <c:spPr>
            <a:ln w="9525" cap="flat" cmpd="sng" algn="ctr">
              <a:solidFill>
                <a:srgbClr val="006666"/>
              </a:solidFill>
              <a:round/>
            </a:ln>
            <a:effectLst/>
          </c:spPr>
        </c:majorGridlines>
        <c:numFmt formatCode="0" sourceLinked="0"/>
        <c:majorTickMark val="none"/>
        <c:minorTickMark val="none"/>
        <c:tickLblPos val="nextTo"/>
        <c:spPr>
          <a:noFill/>
          <a:ln>
            <a:solidFill>
              <a:srgbClr val="006666"/>
            </a:solidFill>
          </a:ln>
          <a:effectLst/>
        </c:spPr>
        <c:txPr>
          <a:bodyPr rot="-60000000" spcFirstLastPara="1" vertOverflow="ellipsis" vert="horz" wrap="square" anchor="ctr" anchorCtr="1"/>
          <a:lstStyle/>
          <a:p>
            <a:pPr>
              <a:defRPr sz="900" b="0" i="0" u="none" strike="noStrike" kern="1200" baseline="0">
                <a:solidFill>
                  <a:srgbClr val="006666"/>
                </a:solidFill>
                <a:latin typeface="+mj-lt"/>
                <a:ea typeface="+mn-ea"/>
                <a:cs typeface="+mn-cs"/>
              </a:defRPr>
            </a:pPr>
            <a:endParaRPr lang="en-MU"/>
          </a:p>
        </c:txPr>
        <c:crossAx val="525662680"/>
        <c:crosses val="autoZero"/>
        <c:crossBetween val="between"/>
      </c:valAx>
      <c:spPr>
        <a:noFill/>
        <a:ln>
          <a:noFill/>
        </a:ln>
        <a:effectLst/>
      </c:spPr>
    </c:plotArea>
    <c:legend>
      <c:legendPos val="b"/>
      <c:layout>
        <c:manualLayout>
          <c:xMode val="edge"/>
          <c:yMode val="edge"/>
          <c:x val="1.9184203383233379E-2"/>
          <c:y val="0.93104854807985382"/>
          <c:w val="0.97105942424599379"/>
          <c:h val="6.8951451920146095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6666"/>
              </a:solidFill>
              <a:latin typeface="+mj-lt"/>
              <a:ea typeface="+mn-ea"/>
              <a:cs typeface="+mn-cs"/>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6666"/>
      </a:solidFill>
      <a:round/>
    </a:ln>
    <a:effectLst/>
  </c:spPr>
  <c:txPr>
    <a:bodyPr/>
    <a:lstStyle/>
    <a:p>
      <a:pPr>
        <a:defRPr/>
      </a:pPr>
      <a:endParaRPr lang="en-M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rgbClr val="006666"/>
                </a:solidFill>
                <a:latin typeface="Arial" panose="020B0604020202020204" pitchFamily="34" charset="0"/>
                <a:ea typeface="+mn-ea"/>
                <a:cs typeface="Arial" panose="020B0604020202020204" pitchFamily="34" charset="0"/>
              </a:defRPr>
            </a:pPr>
            <a:r>
              <a:rPr lang="en-US" sz="1050" b="1">
                <a:solidFill>
                  <a:srgbClr val="006666"/>
                </a:solidFill>
                <a:latin typeface="Arial" panose="020B0604020202020204" pitchFamily="34" charset="0"/>
                <a:cs typeface="Arial" panose="020B0604020202020204" pitchFamily="34" charset="0"/>
              </a:rPr>
              <a:t>US</a:t>
            </a:r>
            <a:r>
              <a:rPr lang="en-US" sz="1050" b="1" baseline="0">
                <a:solidFill>
                  <a:srgbClr val="006666"/>
                </a:solidFill>
                <a:latin typeface="Arial" panose="020B0604020202020204" pitchFamily="34" charset="0"/>
                <a:cs typeface="Arial" panose="020B0604020202020204" pitchFamily="34" charset="0"/>
              </a:rPr>
              <a:t> Dollar and Euro exchange rate in over the last year (</a:t>
            </a:r>
            <a:r>
              <a:rPr lang="en-US" sz="1050" b="1" i="0" u="none" strike="noStrike" baseline="0">
                <a:effectLst/>
              </a:rPr>
              <a:t>Mauritian Rupee)</a:t>
            </a:r>
            <a:endParaRPr lang="en-US" sz="1050" b="1">
              <a:solidFill>
                <a:srgbClr val="006666"/>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rgbClr val="006666"/>
              </a:solidFill>
              <a:latin typeface="Arial" panose="020B0604020202020204" pitchFamily="34" charset="0"/>
              <a:ea typeface="+mn-ea"/>
              <a:cs typeface="Arial" panose="020B0604020202020204" pitchFamily="34" charset="0"/>
            </a:defRPr>
          </a:pPr>
          <a:endParaRPr lang="en-MU"/>
        </a:p>
      </c:txPr>
    </c:title>
    <c:autoTitleDeleted val="0"/>
    <c:plotArea>
      <c:layout>
        <c:manualLayout>
          <c:layoutTarget val="inner"/>
          <c:xMode val="edge"/>
          <c:yMode val="edge"/>
          <c:x val="7.01680519101779E-2"/>
          <c:y val="0.14255677027847263"/>
          <c:w val="0.8777486147564888"/>
          <c:h val="0.64258996642883037"/>
        </c:manualLayout>
      </c:layout>
      <c:lineChart>
        <c:grouping val="standard"/>
        <c:varyColors val="0"/>
        <c:ser>
          <c:idx val="0"/>
          <c:order val="0"/>
          <c:tx>
            <c:strRef>
              <c:f>Sheet1!$B$1</c:f>
              <c:strCache>
                <c:ptCount val="1"/>
                <c:pt idx="0">
                  <c:v>USD</c:v>
                </c:pt>
              </c:strCache>
            </c:strRef>
          </c:tx>
          <c:spPr>
            <a:ln w="28575" cap="rnd">
              <a:solidFill>
                <a:srgbClr val="006666"/>
              </a:solidFill>
              <a:round/>
            </a:ln>
            <a:effectLst/>
          </c:spPr>
          <c:marker>
            <c:symbol val="none"/>
          </c:marker>
          <c:dPt>
            <c:idx val="0"/>
            <c:marker>
              <c:symbol val="none"/>
            </c:marker>
            <c:bubble3D val="0"/>
            <c:spPr>
              <a:ln w="28575" cap="rnd">
                <a:solidFill>
                  <a:srgbClr val="006666"/>
                </a:solidFill>
                <a:round/>
              </a:ln>
              <a:effectLst/>
            </c:spPr>
            <c:extLst>
              <c:ext xmlns:c16="http://schemas.microsoft.com/office/drawing/2014/chart" uri="{C3380CC4-5D6E-409C-BE32-E72D297353CC}">
                <c16:uniqueId val="{00000002-FC5C-4424-8488-E320454C4880}"/>
              </c:ext>
            </c:extLst>
          </c:dPt>
          <c:dPt>
            <c:idx val="1"/>
            <c:marker>
              <c:symbol val="none"/>
            </c:marker>
            <c:bubble3D val="0"/>
            <c:spPr>
              <a:ln w="28575" cap="rnd">
                <a:solidFill>
                  <a:srgbClr val="006666"/>
                </a:solidFill>
                <a:round/>
              </a:ln>
              <a:effectLst/>
            </c:spPr>
            <c:extLst>
              <c:ext xmlns:c16="http://schemas.microsoft.com/office/drawing/2014/chart" uri="{C3380CC4-5D6E-409C-BE32-E72D297353CC}">
                <c16:uniqueId val="{00000003-FC5C-4424-8488-E320454C4880}"/>
              </c:ext>
            </c:extLst>
          </c:dPt>
          <c:dPt>
            <c:idx val="2"/>
            <c:marker>
              <c:symbol val="none"/>
            </c:marker>
            <c:bubble3D val="0"/>
            <c:spPr>
              <a:ln w="28575" cap="rnd">
                <a:solidFill>
                  <a:srgbClr val="006666"/>
                </a:solidFill>
                <a:round/>
              </a:ln>
              <a:effectLst/>
            </c:spPr>
            <c:extLst>
              <c:ext xmlns:c16="http://schemas.microsoft.com/office/drawing/2014/chart" uri="{C3380CC4-5D6E-409C-BE32-E72D297353CC}">
                <c16:uniqueId val="{00000004-FC5C-4424-8488-E320454C4880}"/>
              </c:ext>
            </c:extLst>
          </c:dPt>
          <c:dPt>
            <c:idx val="3"/>
            <c:marker>
              <c:symbol val="none"/>
            </c:marker>
            <c:bubble3D val="0"/>
            <c:spPr>
              <a:ln w="28575" cap="rnd">
                <a:solidFill>
                  <a:srgbClr val="006666"/>
                </a:solidFill>
                <a:round/>
              </a:ln>
              <a:effectLst/>
            </c:spPr>
            <c:extLst>
              <c:ext xmlns:c16="http://schemas.microsoft.com/office/drawing/2014/chart" uri="{C3380CC4-5D6E-409C-BE32-E72D297353CC}">
                <c16:uniqueId val="{00000005-FC5C-4424-8488-E320454C4880}"/>
              </c:ext>
            </c:extLst>
          </c:dPt>
          <c:dPt>
            <c:idx val="4"/>
            <c:marker>
              <c:symbol val="none"/>
            </c:marker>
            <c:bubble3D val="0"/>
            <c:spPr>
              <a:ln w="28575" cap="rnd">
                <a:solidFill>
                  <a:srgbClr val="006666"/>
                </a:solidFill>
                <a:round/>
              </a:ln>
              <a:effectLst/>
            </c:spPr>
            <c:extLst>
              <c:ext xmlns:c16="http://schemas.microsoft.com/office/drawing/2014/chart" uri="{C3380CC4-5D6E-409C-BE32-E72D297353CC}">
                <c16:uniqueId val="{00000006-FC5C-4424-8488-E320454C4880}"/>
              </c:ext>
            </c:extLst>
          </c:dPt>
          <c:dPt>
            <c:idx val="5"/>
            <c:marker>
              <c:symbol val="none"/>
            </c:marker>
            <c:bubble3D val="0"/>
            <c:spPr>
              <a:ln w="28575" cap="rnd">
                <a:solidFill>
                  <a:srgbClr val="006666"/>
                </a:solidFill>
                <a:round/>
              </a:ln>
              <a:effectLst/>
            </c:spPr>
            <c:extLst>
              <c:ext xmlns:c16="http://schemas.microsoft.com/office/drawing/2014/chart" uri="{C3380CC4-5D6E-409C-BE32-E72D297353CC}">
                <c16:uniqueId val="{00000007-FC5C-4424-8488-E320454C4880}"/>
              </c:ext>
            </c:extLst>
          </c:dPt>
          <c:dPt>
            <c:idx val="6"/>
            <c:marker>
              <c:symbol val="none"/>
            </c:marker>
            <c:bubble3D val="0"/>
            <c:spPr>
              <a:ln w="28575" cap="rnd">
                <a:solidFill>
                  <a:srgbClr val="006666"/>
                </a:solidFill>
                <a:round/>
              </a:ln>
              <a:effectLst/>
            </c:spPr>
            <c:extLst>
              <c:ext xmlns:c16="http://schemas.microsoft.com/office/drawing/2014/chart" uri="{C3380CC4-5D6E-409C-BE32-E72D297353CC}">
                <c16:uniqueId val="{00000001-FC5C-4424-8488-E320454C4880}"/>
              </c:ext>
            </c:extLst>
          </c:dPt>
          <c:dPt>
            <c:idx val="7"/>
            <c:marker>
              <c:symbol val="none"/>
            </c:marker>
            <c:bubble3D val="0"/>
            <c:spPr>
              <a:ln w="28575" cap="rnd">
                <a:solidFill>
                  <a:srgbClr val="006666"/>
                </a:solidFill>
                <a:round/>
              </a:ln>
              <a:effectLst/>
            </c:spPr>
            <c:extLst>
              <c:ext xmlns:c16="http://schemas.microsoft.com/office/drawing/2014/chart" uri="{C3380CC4-5D6E-409C-BE32-E72D297353CC}">
                <c16:uniqueId val="{00000008-FC5C-4424-8488-E320454C4880}"/>
              </c:ext>
            </c:extLst>
          </c:dPt>
          <c:dPt>
            <c:idx val="8"/>
            <c:marker>
              <c:symbol val="none"/>
            </c:marker>
            <c:bubble3D val="0"/>
            <c:spPr>
              <a:ln w="28575" cap="rnd">
                <a:solidFill>
                  <a:srgbClr val="006666"/>
                </a:solidFill>
                <a:round/>
              </a:ln>
              <a:effectLst/>
            </c:spPr>
            <c:extLst>
              <c:ext xmlns:c16="http://schemas.microsoft.com/office/drawing/2014/chart" uri="{C3380CC4-5D6E-409C-BE32-E72D297353CC}">
                <c16:uniqueId val="{00000009-FC5C-4424-8488-E320454C4880}"/>
              </c:ext>
            </c:extLst>
          </c:dPt>
          <c:dPt>
            <c:idx val="9"/>
            <c:marker>
              <c:symbol val="none"/>
            </c:marker>
            <c:bubble3D val="0"/>
            <c:spPr>
              <a:ln w="28575" cap="rnd">
                <a:solidFill>
                  <a:srgbClr val="006666"/>
                </a:solidFill>
                <a:round/>
              </a:ln>
              <a:effectLst/>
            </c:spPr>
            <c:extLst>
              <c:ext xmlns:c16="http://schemas.microsoft.com/office/drawing/2014/chart" uri="{C3380CC4-5D6E-409C-BE32-E72D297353CC}">
                <c16:uniqueId val="{0000000A-FC5C-4424-8488-E320454C4880}"/>
              </c:ext>
            </c:extLst>
          </c:dPt>
          <c:cat>
            <c:numRef>
              <c:f>Sheet1!$A$2:$A$14</c:f>
              <c:numCache>
                <c:formatCode>mmm\-yy</c:formatCode>
                <c:ptCount val="13"/>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numCache>
            </c:numRef>
          </c:cat>
          <c:val>
            <c:numRef>
              <c:f>Sheet1!$B$2:$B$14</c:f>
              <c:numCache>
                <c:formatCode>General</c:formatCode>
                <c:ptCount val="13"/>
                <c:pt idx="0">
                  <c:v>43.045999999999999</c:v>
                </c:pt>
                <c:pt idx="1">
                  <c:v>43.300699999999999</c:v>
                </c:pt>
                <c:pt idx="2">
                  <c:v>43.627099999999999</c:v>
                </c:pt>
                <c:pt idx="3">
                  <c:v>43.828600000000002</c:v>
                </c:pt>
                <c:pt idx="4">
                  <c:v>43.875</c:v>
                </c:pt>
                <c:pt idx="5">
                  <c:v>44.425699999999999</c:v>
                </c:pt>
                <c:pt idx="6">
                  <c:v>44.914999999999999</c:v>
                </c:pt>
                <c:pt idx="7">
                  <c:v>43.474299999999999</c:v>
                </c:pt>
                <c:pt idx="8">
                  <c:v>43.938600000000001</c:v>
                </c:pt>
                <c:pt idx="9">
                  <c:v>45.844299999999997</c:v>
                </c:pt>
                <c:pt idx="10">
                  <c:v>45.671399999999998</c:v>
                </c:pt>
                <c:pt idx="11">
                  <c:v>45.3093</c:v>
                </c:pt>
                <c:pt idx="12">
                  <c:v>45.645699999999998</c:v>
                </c:pt>
              </c:numCache>
            </c:numRef>
          </c:val>
          <c:smooth val="0"/>
          <c:extLst>
            <c:ext xmlns:c16="http://schemas.microsoft.com/office/drawing/2014/chart" uri="{C3380CC4-5D6E-409C-BE32-E72D297353CC}">
              <c16:uniqueId val="{00000000-FC5C-4424-8488-E320454C4880}"/>
            </c:ext>
          </c:extLst>
        </c:ser>
        <c:ser>
          <c:idx val="1"/>
          <c:order val="1"/>
          <c:tx>
            <c:strRef>
              <c:f>Sheet1!$C$1</c:f>
              <c:strCache>
                <c:ptCount val="1"/>
                <c:pt idx="0">
                  <c:v>EUR</c:v>
                </c:pt>
              </c:strCache>
            </c:strRef>
          </c:tx>
          <c:spPr>
            <a:ln w="28575" cap="rnd">
              <a:solidFill>
                <a:srgbClr val="C00000"/>
              </a:solidFill>
              <a:round/>
            </a:ln>
            <a:effectLst/>
          </c:spPr>
          <c:marker>
            <c:symbol val="none"/>
          </c:marker>
          <c:cat>
            <c:numRef>
              <c:f>Sheet1!$A$2:$A$14</c:f>
              <c:numCache>
                <c:formatCode>mmm\-yy</c:formatCode>
                <c:ptCount val="13"/>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numCache>
            </c:numRef>
          </c:cat>
          <c:val>
            <c:numRef>
              <c:f>Sheet1!$C$2:$C$14</c:f>
              <c:numCache>
                <c:formatCode>General</c:formatCode>
                <c:ptCount val="13"/>
                <c:pt idx="0">
                  <c:v>49.973199999999999</c:v>
                </c:pt>
                <c:pt idx="1">
                  <c:v>50.283000000000001</c:v>
                </c:pt>
                <c:pt idx="2">
                  <c:v>49.570099999999996</c:v>
                </c:pt>
                <c:pt idx="3">
                  <c:v>49.782699999999998</c:v>
                </c:pt>
                <c:pt idx="4">
                  <c:v>49.726999999999997</c:v>
                </c:pt>
                <c:pt idx="5">
                  <c:v>49.569200000000002</c:v>
                </c:pt>
                <c:pt idx="6">
                  <c:v>49.891100000000002</c:v>
                </c:pt>
                <c:pt idx="7">
                  <c:v>45.934699999999999</c:v>
                </c:pt>
                <c:pt idx="8">
                  <c:v>47.322000000000003</c:v>
                </c:pt>
                <c:pt idx="9">
                  <c:v>48.208199999999998</c:v>
                </c:pt>
                <c:pt idx="10">
                  <c:v>47.002000000000002</c:v>
                </c:pt>
                <c:pt idx="11">
                  <c:v>45.720700000000001</c:v>
                </c:pt>
                <c:pt idx="12">
                  <c:v>44.924199999999999</c:v>
                </c:pt>
              </c:numCache>
            </c:numRef>
          </c:val>
          <c:smooth val="0"/>
          <c:extLst>
            <c:ext xmlns:c16="http://schemas.microsoft.com/office/drawing/2014/chart" uri="{C3380CC4-5D6E-409C-BE32-E72D297353CC}">
              <c16:uniqueId val="{00000014-E6D1-4B44-BC5A-04E214FC750E}"/>
            </c:ext>
          </c:extLst>
        </c:ser>
        <c:dLbls>
          <c:showLegendKey val="0"/>
          <c:showVal val="0"/>
          <c:showCatName val="0"/>
          <c:showSerName val="0"/>
          <c:showPercent val="0"/>
          <c:showBubbleSize val="0"/>
        </c:dLbls>
        <c:smooth val="0"/>
        <c:axId val="396627328"/>
        <c:axId val="396625664"/>
      </c:lineChart>
      <c:dateAx>
        <c:axId val="396627328"/>
        <c:scaling>
          <c:orientation val="minMax"/>
        </c:scaling>
        <c:delete val="0"/>
        <c:axPos val="b"/>
        <c:numFmt formatCode="mmm\-yy" sourceLinked="1"/>
        <c:majorTickMark val="out"/>
        <c:minorTickMark val="none"/>
        <c:tickLblPos val="nextTo"/>
        <c:spPr>
          <a:noFill/>
          <a:ln w="9525" cap="flat" cmpd="sng" algn="ctr">
            <a:solidFill>
              <a:srgbClr val="006666"/>
            </a:solidFill>
            <a:round/>
          </a:ln>
          <a:effectLst/>
        </c:spPr>
        <c:txPr>
          <a:bodyPr rot="-60000000" spcFirstLastPara="1" vertOverflow="ellipsis" vert="horz" wrap="square" anchor="ctr" anchorCtr="1"/>
          <a:lstStyle/>
          <a:p>
            <a:pPr>
              <a:defRPr sz="9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396625664"/>
        <c:crosses val="autoZero"/>
        <c:auto val="1"/>
        <c:lblOffset val="100"/>
        <c:baseTimeUnit val="months"/>
      </c:dateAx>
      <c:valAx>
        <c:axId val="396625664"/>
        <c:scaling>
          <c:orientation val="minMax"/>
        </c:scaling>
        <c:delete val="0"/>
        <c:axPos val="l"/>
        <c:majorGridlines>
          <c:spPr>
            <a:ln w="9525" cap="flat" cmpd="sng" algn="ctr">
              <a:solidFill>
                <a:srgbClr val="006666"/>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396627328"/>
        <c:crosses val="autoZero"/>
        <c:crossBetween val="between"/>
      </c:valAx>
      <c:spPr>
        <a:noFill/>
        <a:ln>
          <a:noFill/>
        </a:ln>
        <a:effectLst/>
      </c:spPr>
    </c:plotArea>
    <c:legend>
      <c:legendPos val="r"/>
      <c:layout>
        <c:manualLayout>
          <c:xMode val="edge"/>
          <c:yMode val="edge"/>
          <c:x val="0.3183013907115777"/>
          <c:y val="0.90257682633420822"/>
          <c:w val="0.38945323891805184"/>
          <c:h val="9.516440653251677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6666"/>
      </a:solidFill>
      <a:round/>
    </a:ln>
    <a:effectLst/>
  </c:spPr>
  <c:txPr>
    <a:bodyPr/>
    <a:lstStyle/>
    <a:p>
      <a:pPr>
        <a:defRPr/>
      </a:pPr>
      <a:endParaRPr lang="en-M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50" b="1">
                <a:solidFill>
                  <a:srgbClr val="006666"/>
                </a:solidFill>
                <a:latin typeface="Arial" panose="020B0604020202020204" pitchFamily="34" charset="0"/>
                <a:cs typeface="Arial" panose="020B0604020202020204" pitchFamily="34" charset="0"/>
              </a:rPr>
              <a:t>Currency composition </a:t>
            </a:r>
            <a:r>
              <a:rPr lang="en-US" sz="1050" b="1" baseline="0">
                <a:solidFill>
                  <a:srgbClr val="006666"/>
                </a:solidFill>
                <a:latin typeface="Arial" panose="020B0604020202020204" pitchFamily="34" charset="0"/>
                <a:cs typeface="Arial" panose="020B0604020202020204" pitchFamily="34" charset="0"/>
              </a:rPr>
              <a:t>of public external debt</a:t>
            </a:r>
            <a:endParaRPr lang="en-US" sz="1050" b="1">
              <a:solidFill>
                <a:srgbClr val="006666"/>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pieChart>
        <c:varyColors val="1"/>
        <c:ser>
          <c:idx val="0"/>
          <c:order val="0"/>
          <c:tx>
            <c:strRef>
              <c:f>Sheet1!$B$1</c:f>
              <c:strCache>
                <c:ptCount val="1"/>
                <c:pt idx="0">
                  <c:v>Column3</c:v>
                </c:pt>
              </c:strCache>
            </c:strRef>
          </c:tx>
          <c:dPt>
            <c:idx val="0"/>
            <c:bubble3D val="0"/>
            <c:spPr>
              <a:solidFill>
                <a:srgbClr val="FFCC00"/>
              </a:solidFill>
              <a:ln>
                <a:solidFill>
                  <a:srgbClr val="FFCC00"/>
                </a:solidFill>
              </a:ln>
              <a:effectLst/>
            </c:spPr>
            <c:extLst>
              <c:ext xmlns:c16="http://schemas.microsoft.com/office/drawing/2014/chart" uri="{C3380CC4-5D6E-409C-BE32-E72D297353CC}">
                <c16:uniqueId val="{00000006-F1CB-4853-B088-7FF5074D6CC7}"/>
              </c:ext>
            </c:extLst>
          </c:dPt>
          <c:dPt>
            <c:idx val="1"/>
            <c:bubble3D val="0"/>
            <c:spPr>
              <a:solidFill>
                <a:schemeClr val="accent3">
                  <a:lumMod val="60000"/>
                  <a:lumOff val="40000"/>
                </a:schemeClr>
              </a:solidFill>
              <a:ln>
                <a:noFill/>
              </a:ln>
              <a:effectLst/>
            </c:spPr>
            <c:extLst>
              <c:ext xmlns:c16="http://schemas.microsoft.com/office/drawing/2014/chart" uri="{C3380CC4-5D6E-409C-BE32-E72D297353CC}">
                <c16:uniqueId val="{00000008-F1CB-4853-B088-7FF5074D6CC7}"/>
              </c:ext>
            </c:extLst>
          </c:dPt>
          <c:dPt>
            <c:idx val="2"/>
            <c:bubble3D val="0"/>
            <c:spPr>
              <a:solidFill>
                <a:srgbClr val="008080"/>
              </a:solidFill>
              <a:ln>
                <a:noFill/>
              </a:ln>
              <a:effectLst/>
            </c:spPr>
            <c:extLst>
              <c:ext xmlns:c16="http://schemas.microsoft.com/office/drawing/2014/chart" uri="{C3380CC4-5D6E-409C-BE32-E72D297353CC}">
                <c16:uniqueId val="{00000007-F1CB-4853-B088-7FF5074D6CC7}"/>
              </c:ext>
            </c:extLst>
          </c:dPt>
          <c:dPt>
            <c:idx val="3"/>
            <c:bubble3D val="0"/>
            <c:spPr>
              <a:solidFill>
                <a:srgbClr val="C00000"/>
              </a:solidFill>
              <a:ln>
                <a:noFill/>
              </a:ln>
              <a:effectLst/>
            </c:spPr>
            <c:extLst>
              <c:ext xmlns:c16="http://schemas.microsoft.com/office/drawing/2014/chart" uri="{C3380CC4-5D6E-409C-BE32-E72D297353CC}">
                <c16:uniqueId val="{00000003-F1CB-4853-B088-7FF5074D6CC7}"/>
              </c:ext>
            </c:extLst>
          </c:dPt>
          <c:dPt>
            <c:idx val="4"/>
            <c:bubble3D val="0"/>
            <c:spPr>
              <a:solidFill>
                <a:schemeClr val="accent5"/>
              </a:solidFill>
              <a:ln>
                <a:noFill/>
              </a:ln>
              <a:effectLst/>
            </c:spPr>
            <c:extLst>
              <c:ext xmlns:c16="http://schemas.microsoft.com/office/drawing/2014/chart" uri="{C3380CC4-5D6E-409C-BE32-E72D297353CC}">
                <c16:uniqueId val="{00000009-4902-49C2-A091-963345A9373A}"/>
              </c:ext>
            </c:extLst>
          </c:dPt>
          <c:dPt>
            <c:idx val="5"/>
            <c:bubble3D val="0"/>
            <c:spPr>
              <a:solidFill>
                <a:srgbClr val="FFFF66"/>
              </a:solidFill>
              <a:ln>
                <a:noFill/>
              </a:ln>
              <a:effectLst/>
            </c:spPr>
            <c:extLst>
              <c:ext xmlns:c16="http://schemas.microsoft.com/office/drawing/2014/chart" uri="{C3380CC4-5D6E-409C-BE32-E72D297353CC}">
                <c16:uniqueId val="{00000004-F1CB-4853-B088-7FF5074D6CC7}"/>
              </c:ext>
            </c:extLst>
          </c:dPt>
          <c:dPt>
            <c:idx val="6"/>
            <c:bubble3D val="0"/>
            <c:spPr>
              <a:solidFill>
                <a:schemeClr val="accent5">
                  <a:lumMod val="20000"/>
                  <a:lumOff val="80000"/>
                </a:schemeClr>
              </a:solidFill>
              <a:ln>
                <a:noFill/>
              </a:ln>
              <a:effectLst/>
            </c:spPr>
            <c:extLst>
              <c:ext xmlns:c16="http://schemas.microsoft.com/office/drawing/2014/chart" uri="{C3380CC4-5D6E-409C-BE32-E72D297353CC}">
                <c16:uniqueId val="{00000009-F1CB-4853-B088-7FF5074D6CC7}"/>
              </c:ext>
            </c:extLst>
          </c:dPt>
          <c:dPt>
            <c:idx val="7"/>
            <c:bubble3D val="0"/>
            <c:spPr>
              <a:solidFill>
                <a:srgbClr val="000099"/>
              </a:solidFill>
              <a:ln>
                <a:noFill/>
              </a:ln>
              <a:effectLst/>
            </c:spPr>
            <c:extLst>
              <c:ext xmlns:c16="http://schemas.microsoft.com/office/drawing/2014/chart" uri="{C3380CC4-5D6E-409C-BE32-E72D297353CC}">
                <c16:uniqueId val="{00000005-F1CB-4853-B088-7FF5074D6CC7}"/>
              </c:ext>
            </c:extLst>
          </c:dPt>
          <c:cat>
            <c:strRef>
              <c:f>Sheet1!$A$2:$A$9</c:f>
              <c:strCache>
                <c:ptCount val="8"/>
                <c:pt idx="0">
                  <c:v>United States Dollar</c:v>
                </c:pt>
                <c:pt idx="1">
                  <c:v>Pound Sterling</c:v>
                </c:pt>
                <c:pt idx="2">
                  <c:v>Japanese Yen</c:v>
                </c:pt>
                <c:pt idx="3">
                  <c:v>Euro</c:v>
                </c:pt>
                <c:pt idx="4">
                  <c:v>Special Drawing Rights</c:v>
                </c:pt>
                <c:pt idx="5">
                  <c:v>Chinese Yuan</c:v>
                </c:pt>
                <c:pt idx="6">
                  <c:v>Saudi Riyals</c:v>
                </c:pt>
                <c:pt idx="7">
                  <c:v>Mauritian Rupees</c:v>
                </c:pt>
              </c:strCache>
            </c:strRef>
          </c:cat>
          <c:val>
            <c:numRef>
              <c:f>Sheet1!$B$2:$B$9</c:f>
              <c:numCache>
                <c:formatCode>#,##0</c:formatCode>
                <c:ptCount val="8"/>
                <c:pt idx="0">
                  <c:v>34014</c:v>
                </c:pt>
                <c:pt idx="1">
                  <c:v>1353</c:v>
                </c:pt>
                <c:pt idx="2">
                  <c:v>10444</c:v>
                </c:pt>
                <c:pt idx="3">
                  <c:v>36574</c:v>
                </c:pt>
                <c:pt idx="4">
                  <c:v>14085</c:v>
                </c:pt>
                <c:pt idx="5">
                  <c:v>3460</c:v>
                </c:pt>
                <c:pt idx="6">
                  <c:v>1556</c:v>
                </c:pt>
                <c:pt idx="7">
                  <c:v>11665</c:v>
                </c:pt>
              </c:numCache>
            </c:numRef>
          </c:val>
          <c:extLst>
            <c:ext xmlns:c16="http://schemas.microsoft.com/office/drawing/2014/chart" uri="{C3380CC4-5D6E-409C-BE32-E72D297353CC}">
              <c16:uniqueId val="{00000000-4E7C-4FD6-8507-F161854158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6666"/>
      </a:solidFill>
      <a:round/>
    </a:ln>
    <a:effectLst/>
  </c:spPr>
  <c:txPr>
    <a:bodyPr/>
    <a:lstStyle/>
    <a:p>
      <a:pPr>
        <a:defRPr/>
      </a:pPr>
      <a:endParaRPr lang="en-M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rgbClr val="006666"/>
                </a:solidFill>
                <a:latin typeface="Arial" panose="020B0604020202020204" pitchFamily="34" charset="0"/>
                <a:ea typeface="+mn-ea"/>
                <a:cs typeface="Arial" panose="020B0604020202020204" pitchFamily="34" charset="0"/>
              </a:defRPr>
            </a:pPr>
            <a:r>
              <a:rPr lang="en-US" sz="1100" b="1">
                <a:solidFill>
                  <a:srgbClr val="006666"/>
                </a:solidFill>
                <a:latin typeface="Arial" panose="020B0604020202020204" pitchFamily="34" charset="0"/>
                <a:cs typeface="Arial" panose="020B0604020202020204" pitchFamily="34" charset="0"/>
              </a:rPr>
              <a:t>Global</a:t>
            </a:r>
            <a:r>
              <a:rPr lang="en-US" sz="1100" b="1" baseline="0">
                <a:solidFill>
                  <a:srgbClr val="006666"/>
                </a:solidFill>
                <a:latin typeface="Arial" panose="020B0604020202020204" pitchFamily="34" charset="0"/>
                <a:cs typeface="Arial" panose="020B0604020202020204" pitchFamily="34" charset="0"/>
              </a:rPr>
              <a:t> and regional growth rates (2018-2027)</a:t>
            </a:r>
            <a:endParaRPr lang="en-US" sz="1100" b="1">
              <a:solidFill>
                <a:srgbClr val="006666"/>
              </a:solidFill>
              <a:latin typeface="Arial" panose="020B0604020202020204" pitchFamily="34" charset="0"/>
              <a:cs typeface="Arial" panose="020B0604020202020204" pitchFamily="34" charset="0"/>
            </a:endParaRPr>
          </a:p>
        </c:rich>
      </c:tx>
      <c:layout>
        <c:manualLayout>
          <c:xMode val="edge"/>
          <c:yMode val="edge"/>
          <c:x val="0.15518646106736658"/>
          <c:y val="2.0254629629629629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rgbClr val="006666"/>
              </a:solidFill>
              <a:latin typeface="Arial" panose="020B0604020202020204" pitchFamily="34" charset="0"/>
              <a:ea typeface="+mn-ea"/>
              <a:cs typeface="Arial" panose="020B0604020202020204" pitchFamily="34" charset="0"/>
            </a:defRPr>
          </a:pPr>
          <a:endParaRPr lang="en-MU"/>
        </a:p>
      </c:txPr>
    </c:title>
    <c:autoTitleDeleted val="0"/>
    <c:plotArea>
      <c:layout/>
      <c:lineChart>
        <c:grouping val="standard"/>
        <c:varyColors val="0"/>
        <c:ser>
          <c:idx val="1"/>
          <c:order val="1"/>
          <c:tx>
            <c:strRef>
              <c:f>Sheet1!$C$1</c:f>
              <c:strCache>
                <c:ptCount val="1"/>
                <c:pt idx="0">
                  <c:v>US</c:v>
                </c:pt>
              </c:strCache>
            </c:strRef>
          </c:tx>
          <c:spPr>
            <a:ln w="28575" cap="rnd">
              <a:solidFill>
                <a:srgbClr val="C00000"/>
              </a:solidFill>
              <a:round/>
            </a:ln>
            <a:effectLst/>
          </c:spPr>
          <c:marker>
            <c:symbol val="none"/>
          </c:marker>
          <c:dPt>
            <c:idx val="4"/>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8-B521-4508-B916-45F14BF869C9}"/>
              </c:ext>
            </c:extLst>
          </c:dPt>
          <c:dPt>
            <c:idx val="5"/>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9-B521-4508-B916-45F14BF869C9}"/>
              </c:ext>
            </c:extLst>
          </c:dPt>
          <c:dPt>
            <c:idx val="6"/>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A-B521-4508-B916-45F14BF869C9}"/>
              </c:ext>
            </c:extLst>
          </c:dPt>
          <c:dPt>
            <c:idx val="7"/>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B-B521-4508-B916-45F14BF869C9}"/>
              </c:ext>
            </c:extLst>
          </c:dPt>
          <c:dPt>
            <c:idx val="8"/>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C-B521-4508-B916-45F14BF869C9}"/>
              </c:ext>
            </c:extLst>
          </c:dPt>
          <c:dPt>
            <c:idx val="9"/>
            <c:marker>
              <c:symbol val="none"/>
            </c:marker>
            <c:bubble3D val="0"/>
            <c:spPr>
              <a:ln w="28575" cap="rnd">
                <a:solidFill>
                  <a:srgbClr val="C00000"/>
                </a:solidFill>
                <a:prstDash val="sysDash"/>
                <a:round/>
              </a:ln>
              <a:effectLst/>
            </c:spPr>
            <c:extLst>
              <c:ext xmlns:c16="http://schemas.microsoft.com/office/drawing/2014/chart" uri="{C3380CC4-5D6E-409C-BE32-E72D297353CC}">
                <c16:uniqueId val="{0000000D-B521-4508-B916-45F14BF869C9}"/>
              </c:ext>
            </c:extLst>
          </c:dPt>
          <c:cat>
            <c:numRef>
              <c:f>Sheet1!$A$2:$A$11</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Sheet1!$C$2:$C$11</c:f>
              <c:numCache>
                <c:formatCode>0.0</c:formatCode>
                <c:ptCount val="10"/>
                <c:pt idx="0">
                  <c:v>2.9</c:v>
                </c:pt>
                <c:pt idx="1">
                  <c:v>2.2999999999999998</c:v>
                </c:pt>
                <c:pt idx="2">
                  <c:v>-3.4</c:v>
                </c:pt>
                <c:pt idx="3" formatCode="#,##0.0">
                  <c:v>5.7</c:v>
                </c:pt>
                <c:pt idx="4" formatCode="#,##0.0">
                  <c:v>1.5</c:v>
                </c:pt>
                <c:pt idx="5" formatCode="#,##0.0">
                  <c:v>0.5</c:v>
                </c:pt>
                <c:pt idx="6" formatCode="#,##0.0">
                  <c:v>1.7</c:v>
                </c:pt>
                <c:pt idx="7" formatCode="#,##0.0">
                  <c:v>1.9</c:v>
                </c:pt>
                <c:pt idx="8" formatCode="#,##0.0">
                  <c:v>2.1</c:v>
                </c:pt>
                <c:pt idx="9" formatCode="#,##0.0">
                  <c:v>1.8</c:v>
                </c:pt>
              </c:numCache>
            </c:numRef>
          </c:val>
          <c:smooth val="0"/>
          <c:extLst>
            <c:ext xmlns:c16="http://schemas.microsoft.com/office/drawing/2014/chart" uri="{C3380CC4-5D6E-409C-BE32-E72D297353CC}">
              <c16:uniqueId val="{00000001-057F-4FFF-B13F-D163F74B80A3}"/>
            </c:ext>
          </c:extLst>
        </c:ser>
        <c:ser>
          <c:idx val="2"/>
          <c:order val="2"/>
          <c:tx>
            <c:strRef>
              <c:f>Sheet1!$D$1</c:f>
              <c:strCache>
                <c:ptCount val="1"/>
                <c:pt idx="0">
                  <c:v>Euro Area</c:v>
                </c:pt>
              </c:strCache>
            </c:strRef>
          </c:tx>
          <c:spPr>
            <a:ln w="28575" cap="rnd">
              <a:solidFill>
                <a:srgbClr val="00B0F0"/>
              </a:solidFill>
              <a:round/>
            </a:ln>
            <a:effectLst/>
          </c:spPr>
          <c:marker>
            <c:symbol val="none"/>
          </c:marker>
          <c:dPt>
            <c:idx val="5"/>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14-B521-4508-B916-45F14BF869C9}"/>
              </c:ext>
            </c:extLst>
          </c:dPt>
          <c:dPt>
            <c:idx val="6"/>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15-B521-4508-B916-45F14BF869C9}"/>
              </c:ext>
            </c:extLst>
          </c:dPt>
          <c:dPt>
            <c:idx val="7"/>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16-B521-4508-B916-45F14BF869C9}"/>
              </c:ext>
            </c:extLst>
          </c:dPt>
          <c:dPt>
            <c:idx val="8"/>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17-B521-4508-B916-45F14BF869C9}"/>
              </c:ext>
            </c:extLst>
          </c:dPt>
          <c:dPt>
            <c:idx val="9"/>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18-B521-4508-B916-45F14BF869C9}"/>
              </c:ext>
            </c:extLst>
          </c:dPt>
          <c:cat>
            <c:numRef>
              <c:f>Sheet1!$A$2:$A$11</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Sheet1!$D$2:$D$11</c:f>
              <c:numCache>
                <c:formatCode>0.0</c:formatCode>
                <c:ptCount val="10"/>
                <c:pt idx="0">
                  <c:v>1.8</c:v>
                </c:pt>
                <c:pt idx="1">
                  <c:v>1.6</c:v>
                </c:pt>
                <c:pt idx="2">
                  <c:v>-6.4</c:v>
                </c:pt>
                <c:pt idx="3" formatCode="#,##0.0">
                  <c:v>5.2</c:v>
                </c:pt>
                <c:pt idx="4" formatCode="#,##0.0">
                  <c:v>2.7</c:v>
                </c:pt>
                <c:pt idx="5" formatCode="#,##0.0">
                  <c:v>-0.4</c:v>
                </c:pt>
                <c:pt idx="6" formatCode="#,##0.0">
                  <c:v>1.5</c:v>
                </c:pt>
                <c:pt idx="7" formatCode="#,##0.0">
                  <c:v>1.7</c:v>
                </c:pt>
                <c:pt idx="8" formatCode="#,##0.0">
                  <c:v>1.7</c:v>
                </c:pt>
                <c:pt idx="9" formatCode="#,##0.0">
                  <c:v>1.5</c:v>
                </c:pt>
              </c:numCache>
            </c:numRef>
          </c:val>
          <c:smooth val="0"/>
          <c:extLst>
            <c:ext xmlns:c16="http://schemas.microsoft.com/office/drawing/2014/chart" uri="{C3380CC4-5D6E-409C-BE32-E72D297353CC}">
              <c16:uniqueId val="{00000002-057F-4FFF-B13F-D163F74B80A3}"/>
            </c:ext>
          </c:extLst>
        </c:ser>
        <c:ser>
          <c:idx val="0"/>
          <c:order val="0"/>
          <c:tx>
            <c:strRef>
              <c:f>Sheet1!$B$1</c:f>
              <c:strCache>
                <c:ptCount val="1"/>
                <c:pt idx="0">
                  <c:v>World</c:v>
                </c:pt>
              </c:strCache>
            </c:strRef>
          </c:tx>
          <c:spPr>
            <a:ln w="28575" cap="rnd">
              <a:solidFill>
                <a:srgbClr val="006666"/>
              </a:solidFill>
              <a:round/>
            </a:ln>
            <a:effectLst/>
          </c:spPr>
          <c:marker>
            <c:symbol val="none"/>
          </c:marker>
          <c:dPt>
            <c:idx val="0"/>
            <c:marker>
              <c:symbol val="none"/>
            </c:marker>
            <c:bubble3D val="0"/>
            <c:spPr>
              <a:ln w="28575" cap="rnd">
                <a:solidFill>
                  <a:srgbClr val="006666"/>
                </a:solidFill>
                <a:prstDash val="dash"/>
                <a:round/>
              </a:ln>
              <a:effectLst/>
            </c:spPr>
            <c:extLst>
              <c:ext xmlns:c16="http://schemas.microsoft.com/office/drawing/2014/chart" uri="{C3380CC4-5D6E-409C-BE32-E72D297353CC}">
                <c16:uniqueId val="{00000000-B521-4508-B916-45F14BF869C9}"/>
              </c:ext>
            </c:extLst>
          </c:dPt>
          <c:dPt>
            <c:idx val="4"/>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2-B521-4508-B916-45F14BF869C9}"/>
              </c:ext>
            </c:extLst>
          </c:dPt>
          <c:dPt>
            <c:idx val="5"/>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3-B521-4508-B916-45F14BF869C9}"/>
              </c:ext>
            </c:extLst>
          </c:dPt>
          <c:dPt>
            <c:idx val="6"/>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4-B521-4508-B916-45F14BF869C9}"/>
              </c:ext>
            </c:extLst>
          </c:dPt>
          <c:dPt>
            <c:idx val="7"/>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5-B521-4508-B916-45F14BF869C9}"/>
              </c:ext>
            </c:extLst>
          </c:dPt>
          <c:dPt>
            <c:idx val="8"/>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6-B521-4508-B916-45F14BF869C9}"/>
              </c:ext>
            </c:extLst>
          </c:dPt>
          <c:dPt>
            <c:idx val="9"/>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7-B521-4508-B916-45F14BF869C9}"/>
              </c:ext>
            </c:extLst>
          </c:dPt>
          <c:cat>
            <c:numRef>
              <c:f>Sheet1!$A$2:$A$11</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Sheet1!$B$2:$B$11</c:f>
              <c:numCache>
                <c:formatCode>0.0</c:formatCode>
                <c:ptCount val="10"/>
                <c:pt idx="0">
                  <c:v>3</c:v>
                </c:pt>
                <c:pt idx="1">
                  <c:v>2.2999999999999998</c:v>
                </c:pt>
                <c:pt idx="2">
                  <c:v>-3.6</c:v>
                </c:pt>
                <c:pt idx="3" formatCode="#,##0.0">
                  <c:v>5.7</c:v>
                </c:pt>
                <c:pt idx="4" formatCode="#,##0.0">
                  <c:v>2.6</c:v>
                </c:pt>
                <c:pt idx="5" formatCode="#,##0.0">
                  <c:v>1.7</c:v>
                </c:pt>
                <c:pt idx="6" formatCode="#,##0.0">
                  <c:v>2.6</c:v>
                </c:pt>
                <c:pt idx="7" formatCode="#,##0.0">
                  <c:v>2.7</c:v>
                </c:pt>
                <c:pt idx="8" formatCode="#,##0.0">
                  <c:v>2.7</c:v>
                </c:pt>
                <c:pt idx="9" formatCode="#,##0.0">
                  <c:v>2.5</c:v>
                </c:pt>
              </c:numCache>
            </c:numRef>
          </c:val>
          <c:smooth val="0"/>
          <c:extLst>
            <c:ext xmlns:c16="http://schemas.microsoft.com/office/drawing/2014/chart" uri="{C3380CC4-5D6E-409C-BE32-E72D297353CC}">
              <c16:uniqueId val="{00000000-057F-4FFF-B13F-D163F74B80A3}"/>
            </c:ext>
          </c:extLst>
        </c:ser>
        <c:ser>
          <c:idx val="3"/>
          <c:order val="3"/>
          <c:tx>
            <c:strRef>
              <c:f>Sheet1!$E$1</c:f>
              <c:strCache>
                <c:ptCount val="1"/>
                <c:pt idx="0">
                  <c:v>SubSaharan Africa</c:v>
                </c:pt>
              </c:strCache>
            </c:strRef>
          </c:tx>
          <c:spPr>
            <a:ln w="28575" cap="rnd">
              <a:solidFill>
                <a:srgbClr val="FFCC00"/>
              </a:solidFill>
              <a:round/>
            </a:ln>
            <a:effectLst/>
          </c:spPr>
          <c:marker>
            <c:symbol val="none"/>
          </c:marker>
          <c:dPt>
            <c:idx val="4"/>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0E-B521-4508-B916-45F14BF869C9}"/>
              </c:ext>
            </c:extLst>
          </c:dPt>
          <c:dPt>
            <c:idx val="5"/>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0F-B521-4508-B916-45F14BF869C9}"/>
              </c:ext>
            </c:extLst>
          </c:dPt>
          <c:dPt>
            <c:idx val="6"/>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0-B521-4508-B916-45F14BF869C9}"/>
              </c:ext>
            </c:extLst>
          </c:dPt>
          <c:dPt>
            <c:idx val="7"/>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1-B521-4508-B916-45F14BF869C9}"/>
              </c:ext>
            </c:extLst>
          </c:dPt>
          <c:dPt>
            <c:idx val="8"/>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2-B521-4508-B916-45F14BF869C9}"/>
              </c:ext>
            </c:extLst>
          </c:dPt>
          <c:dPt>
            <c:idx val="9"/>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3-B521-4508-B916-45F14BF869C9}"/>
              </c:ext>
            </c:extLst>
          </c:dPt>
          <c:cat>
            <c:numRef>
              <c:f>Sheet1!$A$2:$A$11</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Sheet1!$E$2:$E$11</c:f>
              <c:numCache>
                <c:formatCode>0.0</c:formatCode>
                <c:ptCount val="10"/>
                <c:pt idx="0">
                  <c:v>2.6</c:v>
                </c:pt>
                <c:pt idx="1">
                  <c:v>2.2999999999999998</c:v>
                </c:pt>
                <c:pt idx="2">
                  <c:v>2.8</c:v>
                </c:pt>
                <c:pt idx="3" formatCode="#,##0.0">
                  <c:v>4.5</c:v>
                </c:pt>
                <c:pt idx="4" formatCode="#,##0.0">
                  <c:v>3.1</c:v>
                </c:pt>
                <c:pt idx="5" formatCode="#,##0.0">
                  <c:v>3.3</c:v>
                </c:pt>
                <c:pt idx="6" formatCode="#,##0.0">
                  <c:v>4.2</c:v>
                </c:pt>
                <c:pt idx="7" formatCode="#,##0.0">
                  <c:v>4</c:v>
                </c:pt>
                <c:pt idx="8" formatCode="#,##0.0">
                  <c:v>4</c:v>
                </c:pt>
                <c:pt idx="9" formatCode="#,##0.0">
                  <c:v>4.0999999999999996</c:v>
                </c:pt>
              </c:numCache>
            </c:numRef>
          </c:val>
          <c:smooth val="0"/>
          <c:extLst>
            <c:ext xmlns:c16="http://schemas.microsoft.com/office/drawing/2014/chart" uri="{C3380CC4-5D6E-409C-BE32-E72D297353CC}">
              <c16:uniqueId val="{00000006-B60F-43A2-9FB3-272A5D70CFBD}"/>
            </c:ext>
          </c:extLst>
        </c:ser>
        <c:dLbls>
          <c:showLegendKey val="0"/>
          <c:showVal val="0"/>
          <c:showCatName val="0"/>
          <c:showSerName val="0"/>
          <c:showPercent val="0"/>
          <c:showBubbleSize val="0"/>
        </c:dLbls>
        <c:smooth val="0"/>
        <c:axId val="543732296"/>
        <c:axId val="543732624"/>
      </c:lineChart>
      <c:catAx>
        <c:axId val="543732296"/>
        <c:scaling>
          <c:orientation val="minMax"/>
        </c:scaling>
        <c:delete val="0"/>
        <c:axPos val="b"/>
        <c:numFmt formatCode="General" sourceLinked="1"/>
        <c:majorTickMark val="none"/>
        <c:minorTickMark val="none"/>
        <c:tickLblPos val="nextTo"/>
        <c:spPr>
          <a:noFill/>
          <a:ln w="9525" cap="flat" cmpd="sng" algn="ctr">
            <a:solidFill>
              <a:srgbClr val="006666"/>
            </a:solidFill>
            <a:round/>
          </a:ln>
          <a:effectLst/>
        </c:spPr>
        <c:txPr>
          <a:bodyPr rot="-60000000" spcFirstLastPara="1" vertOverflow="ellipsis" vert="horz" wrap="square" anchor="ctr" anchorCtr="1"/>
          <a:lstStyle/>
          <a:p>
            <a:pPr>
              <a:defRPr sz="9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543732624"/>
        <c:crosses val="autoZero"/>
        <c:auto val="1"/>
        <c:lblAlgn val="ctr"/>
        <c:lblOffset val="100"/>
        <c:noMultiLvlLbl val="0"/>
      </c:catAx>
      <c:valAx>
        <c:axId val="543732624"/>
        <c:scaling>
          <c:orientation val="minMax"/>
        </c:scaling>
        <c:delete val="0"/>
        <c:axPos val="l"/>
        <c:majorGridlines>
          <c:spPr>
            <a:ln w="9525" cap="flat" cmpd="sng" algn="ctr">
              <a:solidFill>
                <a:srgbClr val="006666"/>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54373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6666"/>
      </a:solidFill>
      <a:round/>
    </a:ln>
    <a:effectLst/>
  </c:spPr>
  <c:txPr>
    <a:bodyPr/>
    <a:lstStyle/>
    <a:p>
      <a:pPr>
        <a:defRPr/>
      </a:pPr>
      <a:endParaRPr lang="en-M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rgbClr val="006666"/>
                </a:solidFill>
                <a:latin typeface="+mn-lt"/>
                <a:ea typeface="+mn-ea"/>
                <a:cs typeface="+mn-cs"/>
              </a:defRPr>
            </a:pPr>
            <a:r>
              <a:rPr lang="en-US" sz="1050" b="1" dirty="0">
                <a:solidFill>
                  <a:srgbClr val="006666"/>
                </a:solidFill>
                <a:latin typeface="Arial" panose="020B0604020202020204" pitchFamily="34" charset="0"/>
                <a:cs typeface="Arial" panose="020B0604020202020204" pitchFamily="34" charset="0"/>
              </a:rPr>
              <a:t>Public</a:t>
            </a:r>
            <a:r>
              <a:rPr lang="en-US" sz="1050" b="1" baseline="0" dirty="0">
                <a:solidFill>
                  <a:srgbClr val="006666"/>
                </a:solidFill>
                <a:latin typeface="Arial" panose="020B0604020202020204" pitchFamily="34" charset="0"/>
                <a:cs typeface="Arial" panose="020B0604020202020204" pitchFamily="34" charset="0"/>
              </a:rPr>
              <a:t> revenues, with and without COVID in Billion MUR (2017-2027)</a:t>
            </a:r>
            <a:endParaRPr lang="en-US" sz="1050" b="1" dirty="0">
              <a:solidFill>
                <a:srgbClr val="006666"/>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006666"/>
              </a:solidFill>
              <a:latin typeface="+mn-lt"/>
              <a:ea typeface="+mn-ea"/>
              <a:cs typeface="+mn-cs"/>
            </a:defRPr>
          </a:pPr>
          <a:endParaRPr lang="en-MU"/>
        </a:p>
      </c:txPr>
    </c:title>
    <c:autoTitleDeleted val="0"/>
    <c:plotArea>
      <c:layout/>
      <c:barChart>
        <c:barDir val="col"/>
        <c:grouping val="clustered"/>
        <c:varyColors val="0"/>
        <c:ser>
          <c:idx val="2"/>
          <c:order val="2"/>
          <c:tx>
            <c:strRef>
              <c:f>Sheet1!$D$1</c:f>
              <c:strCache>
                <c:ptCount val="1"/>
                <c:pt idx="0">
                  <c:v>Total expenditure</c:v>
                </c:pt>
              </c:strCache>
            </c:strRef>
          </c:tx>
          <c:spPr>
            <a:solidFill>
              <a:srgbClr val="006666"/>
            </a:solidFill>
            <a:ln>
              <a:noFill/>
            </a:ln>
            <a:effectLst/>
          </c:spPr>
          <c:invertIfNegative val="0"/>
          <c:cat>
            <c:numRef>
              <c:f>Sheet1!$A$2:$A$12</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Sheet1!$D$2:$D$12</c:f>
              <c:numCache>
                <c:formatCode>General</c:formatCode>
                <c:ptCount val="11"/>
                <c:pt idx="0">
                  <c:v>115</c:v>
                </c:pt>
                <c:pt idx="1">
                  <c:v>122</c:v>
                </c:pt>
                <c:pt idx="2">
                  <c:v>142</c:v>
                </c:pt>
                <c:pt idx="3">
                  <c:v>146</c:v>
                </c:pt>
                <c:pt idx="4">
                  <c:v>147</c:v>
                </c:pt>
                <c:pt idx="5">
                  <c:v>165</c:v>
                </c:pt>
                <c:pt idx="6">
                  <c:v>181</c:v>
                </c:pt>
                <c:pt idx="7">
                  <c:v>187</c:v>
                </c:pt>
                <c:pt idx="8">
                  <c:v>193</c:v>
                </c:pt>
                <c:pt idx="9">
                  <c:v>200</c:v>
                </c:pt>
                <c:pt idx="10">
                  <c:v>209</c:v>
                </c:pt>
              </c:numCache>
            </c:numRef>
          </c:val>
          <c:extLst>
            <c:ext xmlns:c16="http://schemas.microsoft.com/office/drawing/2014/chart" uri="{C3380CC4-5D6E-409C-BE32-E72D297353CC}">
              <c16:uniqueId val="{00000000-2B81-4B61-B036-626DC45ED9B3}"/>
            </c:ext>
          </c:extLst>
        </c:ser>
        <c:dLbls>
          <c:showLegendKey val="0"/>
          <c:showVal val="0"/>
          <c:showCatName val="0"/>
          <c:showSerName val="0"/>
          <c:showPercent val="0"/>
          <c:showBubbleSize val="0"/>
        </c:dLbls>
        <c:gapWidth val="150"/>
        <c:axId val="992387704"/>
        <c:axId val="992389344"/>
      </c:barChart>
      <c:lineChart>
        <c:grouping val="standard"/>
        <c:varyColors val="0"/>
        <c:ser>
          <c:idx val="0"/>
          <c:order val="0"/>
          <c:tx>
            <c:strRef>
              <c:f>Sheet1!$B$1</c:f>
              <c:strCache>
                <c:ptCount val="1"/>
                <c:pt idx="0">
                  <c:v>COVID</c:v>
                </c:pt>
              </c:strCache>
            </c:strRef>
          </c:tx>
          <c:spPr>
            <a:ln w="28575" cap="rnd">
              <a:solidFill>
                <a:srgbClr val="C00000"/>
              </a:solidFill>
              <a:round/>
            </a:ln>
            <a:effectLst/>
          </c:spPr>
          <c:marker>
            <c:symbol val="none"/>
          </c:marker>
          <c:cat>
            <c:numRef>
              <c:f>Sheet1!$A$2:$A$12</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Sheet1!$B$2:$B$12</c:f>
              <c:numCache>
                <c:formatCode>General</c:formatCode>
                <c:ptCount val="11"/>
                <c:pt idx="0">
                  <c:v>107</c:v>
                </c:pt>
                <c:pt idx="1">
                  <c:v>111</c:v>
                </c:pt>
                <c:pt idx="2">
                  <c:v>104</c:v>
                </c:pt>
                <c:pt idx="3">
                  <c:v>99</c:v>
                </c:pt>
                <c:pt idx="4">
                  <c:v>117</c:v>
                </c:pt>
                <c:pt idx="5">
                  <c:v>131</c:v>
                </c:pt>
                <c:pt idx="6">
                  <c:v>145</c:v>
                </c:pt>
                <c:pt idx="7">
                  <c:v>156</c:v>
                </c:pt>
                <c:pt idx="8">
                  <c:v>166</c:v>
                </c:pt>
                <c:pt idx="9">
                  <c:v>175</c:v>
                </c:pt>
                <c:pt idx="10">
                  <c:v>185</c:v>
                </c:pt>
              </c:numCache>
            </c:numRef>
          </c:val>
          <c:smooth val="0"/>
          <c:extLst>
            <c:ext xmlns:c16="http://schemas.microsoft.com/office/drawing/2014/chart" uri="{C3380CC4-5D6E-409C-BE32-E72D297353CC}">
              <c16:uniqueId val="{00000001-2B81-4B61-B036-626DC45ED9B3}"/>
            </c:ext>
          </c:extLst>
        </c:ser>
        <c:ser>
          <c:idx val="1"/>
          <c:order val="1"/>
          <c:tx>
            <c:strRef>
              <c:f>Sheet1!$C$1</c:f>
              <c:strCache>
                <c:ptCount val="1"/>
                <c:pt idx="0">
                  <c:v>Non-COVID</c:v>
                </c:pt>
              </c:strCache>
            </c:strRef>
          </c:tx>
          <c:spPr>
            <a:ln w="28575" cap="rnd">
              <a:solidFill>
                <a:srgbClr val="FFCC00"/>
              </a:solidFill>
              <a:prstDash val="dash"/>
              <a:round/>
            </a:ln>
            <a:effectLst/>
          </c:spPr>
          <c:marker>
            <c:symbol val="none"/>
          </c:marker>
          <c:cat>
            <c:numRef>
              <c:f>Sheet1!$A$2:$A$12</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Sheet1!$C$2:$C$12</c:f>
              <c:numCache>
                <c:formatCode>General</c:formatCode>
                <c:ptCount val="11"/>
                <c:pt idx="0">
                  <c:v>107</c:v>
                </c:pt>
                <c:pt idx="1">
                  <c:v>111</c:v>
                </c:pt>
                <c:pt idx="2">
                  <c:v>104</c:v>
                </c:pt>
                <c:pt idx="3">
                  <c:v>117</c:v>
                </c:pt>
                <c:pt idx="4">
                  <c:v>131</c:v>
                </c:pt>
                <c:pt idx="5">
                  <c:v>145</c:v>
                </c:pt>
                <c:pt idx="6">
                  <c:v>156</c:v>
                </c:pt>
                <c:pt idx="7">
                  <c:v>166</c:v>
                </c:pt>
                <c:pt idx="8">
                  <c:v>175</c:v>
                </c:pt>
                <c:pt idx="9">
                  <c:v>185</c:v>
                </c:pt>
                <c:pt idx="10" formatCode="_(&quot;$&quot;* #,##0.00_);_(&quot;$&quot;* \(#,##0.00\);_(&quot;$&quot;* &quot;-&quot;??_);_(@_)">
                  <c:v>195</c:v>
                </c:pt>
              </c:numCache>
            </c:numRef>
          </c:val>
          <c:smooth val="0"/>
          <c:extLst>
            <c:ext xmlns:c16="http://schemas.microsoft.com/office/drawing/2014/chart" uri="{C3380CC4-5D6E-409C-BE32-E72D297353CC}">
              <c16:uniqueId val="{00000002-2B81-4B61-B036-626DC45ED9B3}"/>
            </c:ext>
          </c:extLst>
        </c:ser>
        <c:dLbls>
          <c:showLegendKey val="0"/>
          <c:showVal val="0"/>
          <c:showCatName val="0"/>
          <c:showSerName val="0"/>
          <c:showPercent val="0"/>
          <c:showBubbleSize val="0"/>
        </c:dLbls>
        <c:marker val="1"/>
        <c:smooth val="0"/>
        <c:axId val="992387704"/>
        <c:axId val="992389344"/>
      </c:lineChart>
      <c:catAx>
        <c:axId val="992387704"/>
        <c:scaling>
          <c:orientation val="minMax"/>
        </c:scaling>
        <c:delete val="0"/>
        <c:axPos val="b"/>
        <c:numFmt formatCode="General" sourceLinked="1"/>
        <c:majorTickMark val="none"/>
        <c:minorTickMark val="none"/>
        <c:tickLblPos val="nextTo"/>
        <c:spPr>
          <a:noFill/>
          <a:ln w="9525" cap="flat" cmpd="sng" algn="ctr">
            <a:solidFill>
              <a:srgbClr val="006666"/>
            </a:solidFill>
            <a:round/>
          </a:ln>
          <a:effectLst/>
        </c:spPr>
        <c:txPr>
          <a:bodyPr rot="-60000000" spcFirstLastPara="1" vertOverflow="ellipsis" vert="horz" wrap="square" anchor="ctr" anchorCtr="1"/>
          <a:lstStyle/>
          <a:p>
            <a:pPr>
              <a:defRPr sz="8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992389344"/>
        <c:crosses val="autoZero"/>
        <c:auto val="1"/>
        <c:lblAlgn val="ctr"/>
        <c:lblOffset val="100"/>
        <c:noMultiLvlLbl val="0"/>
      </c:catAx>
      <c:valAx>
        <c:axId val="992389344"/>
        <c:scaling>
          <c:orientation val="minMax"/>
          <c:max val="220"/>
          <c:min val="0"/>
        </c:scaling>
        <c:delete val="0"/>
        <c:axPos val="l"/>
        <c:majorGridlines>
          <c:spPr>
            <a:ln w="9525" cap="flat" cmpd="sng" algn="ctr">
              <a:solidFill>
                <a:srgbClr val="008080"/>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992387704"/>
        <c:crosses val="autoZero"/>
        <c:crossBetween val="between"/>
      </c:valAx>
      <c:spPr>
        <a:noFill/>
        <a:ln>
          <a:solidFill>
            <a:srgbClr val="006666"/>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6666"/>
      </a:solidFill>
      <a:round/>
    </a:ln>
    <a:effectLst/>
  </c:spPr>
  <c:txPr>
    <a:bodyPr/>
    <a:lstStyle/>
    <a:p>
      <a:pPr>
        <a:defRPr/>
      </a:pPr>
      <a:endParaRPr lang="en-M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a:solidFill>
                  <a:srgbClr val="006666"/>
                </a:solidFill>
                <a:latin typeface="Arial" panose="020B0604020202020204" pitchFamily="34" charset="0"/>
                <a:cs typeface="Arial" panose="020B0604020202020204" pitchFamily="34" charset="0"/>
              </a:rPr>
              <a:t>GDP growth, investment, inflation and unemployment projections</a:t>
            </a:r>
            <a:r>
              <a:rPr lang="en-US" sz="1050" b="1" baseline="0">
                <a:solidFill>
                  <a:srgbClr val="006666"/>
                </a:solidFill>
                <a:latin typeface="Arial" panose="020B0604020202020204" pitchFamily="34" charset="0"/>
                <a:cs typeface="Arial" panose="020B0604020202020204" pitchFamily="34" charset="0"/>
              </a:rPr>
              <a:t> (2017-2027)</a:t>
            </a:r>
            <a:endParaRPr lang="en-US" sz="1050" b="1">
              <a:solidFill>
                <a:srgbClr val="006666"/>
              </a:solidFill>
              <a:latin typeface="Arial" panose="020B0604020202020204" pitchFamily="34" charset="0"/>
              <a:cs typeface="Arial" panose="020B0604020202020204" pitchFamily="34" charset="0"/>
            </a:endParaRPr>
          </a:p>
        </c:rich>
      </c:tx>
      <c:layout>
        <c:manualLayout>
          <c:xMode val="edge"/>
          <c:yMode val="edge"/>
          <c:x val="0.17405972039953338"/>
          <c:y val="1.7361111111111112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U"/>
        </a:p>
      </c:txPr>
    </c:title>
    <c:autoTitleDeleted val="0"/>
    <c:plotArea>
      <c:layout>
        <c:manualLayout>
          <c:layoutTarget val="inner"/>
          <c:xMode val="edge"/>
          <c:yMode val="edge"/>
          <c:x val="0.10594833031973165"/>
          <c:y val="0.11733214067945158"/>
          <c:w val="0.82882984081660749"/>
          <c:h val="0.76593491609985531"/>
        </c:manualLayout>
      </c:layout>
      <c:lineChart>
        <c:grouping val="standard"/>
        <c:varyColors val="0"/>
        <c:ser>
          <c:idx val="0"/>
          <c:order val="0"/>
          <c:tx>
            <c:strRef>
              <c:f>Sheet1!$B$1</c:f>
              <c:strCache>
                <c:ptCount val="1"/>
                <c:pt idx="0">
                  <c:v>GDP growth</c:v>
                </c:pt>
              </c:strCache>
            </c:strRef>
          </c:tx>
          <c:spPr>
            <a:ln w="28575" cap="rnd">
              <a:solidFill>
                <a:srgbClr val="006666"/>
              </a:solidFill>
              <a:round/>
            </a:ln>
            <a:effectLst/>
          </c:spPr>
          <c:marker>
            <c:symbol val="none"/>
          </c:marker>
          <c:dPt>
            <c:idx val="12"/>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2-221B-41F3-8F2C-3321FFB94F67}"/>
              </c:ext>
            </c:extLst>
          </c:dPt>
          <c:dPt>
            <c:idx val="13"/>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4-221B-41F3-8F2C-3321FFB94F67}"/>
              </c:ext>
            </c:extLst>
          </c:dPt>
          <c:dPt>
            <c:idx val="14"/>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3-221B-41F3-8F2C-3321FFB94F67}"/>
              </c:ext>
            </c:extLst>
          </c:dPt>
          <c:dPt>
            <c:idx val="15"/>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5-221B-41F3-8F2C-3321FFB94F67}"/>
              </c:ext>
            </c:extLst>
          </c:dPt>
          <c:dPt>
            <c:idx val="16"/>
            <c:marker>
              <c:symbol val="none"/>
            </c:marker>
            <c:bubble3D val="0"/>
            <c:spPr>
              <a:ln w="28575" cap="rnd">
                <a:solidFill>
                  <a:srgbClr val="006666"/>
                </a:solidFill>
                <a:prstDash val="sysDash"/>
                <a:round/>
              </a:ln>
              <a:effectLst/>
            </c:spPr>
            <c:extLst>
              <c:ext xmlns:c16="http://schemas.microsoft.com/office/drawing/2014/chart" uri="{C3380CC4-5D6E-409C-BE32-E72D297353CC}">
                <c16:uniqueId val="{00000006-221B-41F3-8F2C-3321FFB94F67}"/>
              </c:ext>
            </c:extLst>
          </c:dPt>
          <c:cat>
            <c:numRef>
              <c:f>Sheet1!$A$2:$A$12</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Sheet1!$B$2:$B$12</c:f>
              <c:numCache>
                <c:formatCode>General</c:formatCode>
                <c:ptCount val="11"/>
                <c:pt idx="0">
                  <c:v>4.5110000000000001</c:v>
                </c:pt>
                <c:pt idx="1">
                  <c:v>3.1989999999999998</c:v>
                </c:pt>
                <c:pt idx="2">
                  <c:v>3.0880000000000001</c:v>
                </c:pt>
                <c:pt idx="3">
                  <c:v>-7.7229999999999999</c:v>
                </c:pt>
                <c:pt idx="4">
                  <c:v>7.9139999999999997</c:v>
                </c:pt>
                <c:pt idx="5">
                  <c:v>10.9</c:v>
                </c:pt>
                <c:pt idx="6">
                  <c:v>5.15</c:v>
                </c:pt>
                <c:pt idx="7">
                  <c:v>4.8</c:v>
                </c:pt>
                <c:pt idx="8">
                  <c:v>4.43</c:v>
                </c:pt>
                <c:pt idx="9">
                  <c:v>3.88</c:v>
                </c:pt>
                <c:pt idx="10">
                  <c:v>3.86</c:v>
                </c:pt>
              </c:numCache>
            </c:numRef>
          </c:val>
          <c:smooth val="0"/>
          <c:extLst>
            <c:ext xmlns:c16="http://schemas.microsoft.com/office/drawing/2014/chart" uri="{C3380CC4-5D6E-409C-BE32-E72D297353CC}">
              <c16:uniqueId val="{00000000-3814-412B-8E26-F66A1B70948E}"/>
            </c:ext>
          </c:extLst>
        </c:ser>
        <c:ser>
          <c:idx val="1"/>
          <c:order val="1"/>
          <c:tx>
            <c:strRef>
              <c:f>Sheet1!$C$1</c:f>
              <c:strCache>
                <c:ptCount val="1"/>
                <c:pt idx="0">
                  <c:v>Investment as a % of GDP</c:v>
                </c:pt>
              </c:strCache>
            </c:strRef>
          </c:tx>
          <c:spPr>
            <a:ln w="28575" cap="rnd">
              <a:solidFill>
                <a:srgbClr val="FFCC00"/>
              </a:solidFill>
              <a:round/>
            </a:ln>
            <a:effectLst/>
          </c:spPr>
          <c:marker>
            <c:symbol val="none"/>
          </c:marker>
          <c:dPt>
            <c:idx val="12"/>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6-221B-41F3-8F2C-3321FFB94F67}"/>
              </c:ext>
            </c:extLst>
          </c:dPt>
          <c:dPt>
            <c:idx val="13"/>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5-221B-41F3-8F2C-3321FFB94F67}"/>
              </c:ext>
            </c:extLst>
          </c:dPt>
          <c:dPt>
            <c:idx val="14"/>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7-221B-41F3-8F2C-3321FFB94F67}"/>
              </c:ext>
            </c:extLst>
          </c:dPt>
          <c:dPt>
            <c:idx val="15"/>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4-221B-41F3-8F2C-3321FFB94F67}"/>
              </c:ext>
            </c:extLst>
          </c:dPt>
          <c:dPt>
            <c:idx val="16"/>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3-221B-41F3-8F2C-3321FFB94F67}"/>
              </c:ext>
            </c:extLst>
          </c:dPt>
          <c:dPt>
            <c:idx val="17"/>
            <c:marker>
              <c:symbol val="none"/>
            </c:marker>
            <c:bubble3D val="0"/>
            <c:spPr>
              <a:ln w="28575" cap="rnd">
                <a:solidFill>
                  <a:srgbClr val="FFCC00"/>
                </a:solidFill>
                <a:prstDash val="sysDash"/>
                <a:round/>
              </a:ln>
              <a:effectLst/>
            </c:spPr>
            <c:extLst>
              <c:ext xmlns:c16="http://schemas.microsoft.com/office/drawing/2014/chart" uri="{C3380CC4-5D6E-409C-BE32-E72D297353CC}">
                <c16:uniqueId val="{00000018-221B-41F3-8F2C-3321FFB94F67}"/>
              </c:ext>
            </c:extLst>
          </c:dPt>
          <c:cat>
            <c:numRef>
              <c:f>Sheet1!$A$2:$A$12</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Sheet1!$C$2:$C$12</c:f>
              <c:numCache>
                <c:formatCode>General</c:formatCode>
                <c:ptCount val="11"/>
                <c:pt idx="0">
                  <c:v>30.170999999999999</c:v>
                </c:pt>
                <c:pt idx="1">
                  <c:v>28.989000000000001</c:v>
                </c:pt>
                <c:pt idx="2">
                  <c:v>27.402000000000001</c:v>
                </c:pt>
                <c:pt idx="3">
                  <c:v>22.15</c:v>
                </c:pt>
                <c:pt idx="4">
                  <c:v>25.628</c:v>
                </c:pt>
                <c:pt idx="5">
                  <c:v>25.068999999999999</c:v>
                </c:pt>
                <c:pt idx="6">
                  <c:v>26.891999999999999</c:v>
                </c:pt>
                <c:pt idx="7">
                  <c:v>26.489000000000001</c:v>
                </c:pt>
                <c:pt idx="8">
                  <c:v>26.004000000000001</c:v>
                </c:pt>
                <c:pt idx="9">
                  <c:v>26.013000000000002</c:v>
                </c:pt>
                <c:pt idx="10">
                  <c:v>26.044</c:v>
                </c:pt>
              </c:numCache>
            </c:numRef>
          </c:val>
          <c:smooth val="0"/>
          <c:extLst>
            <c:ext xmlns:c16="http://schemas.microsoft.com/office/drawing/2014/chart" uri="{C3380CC4-5D6E-409C-BE32-E72D297353CC}">
              <c16:uniqueId val="{00000001-3814-412B-8E26-F66A1B70948E}"/>
            </c:ext>
          </c:extLst>
        </c:ser>
        <c:ser>
          <c:idx val="2"/>
          <c:order val="2"/>
          <c:tx>
            <c:strRef>
              <c:f>Sheet1!$D$1</c:f>
              <c:strCache>
                <c:ptCount val="1"/>
                <c:pt idx="0">
                  <c:v>Inflation</c:v>
                </c:pt>
              </c:strCache>
            </c:strRef>
          </c:tx>
          <c:spPr>
            <a:ln w="28575" cap="rnd">
              <a:solidFill>
                <a:srgbClr val="00B0F0"/>
              </a:solidFill>
              <a:round/>
            </a:ln>
            <a:effectLst/>
          </c:spPr>
          <c:marker>
            <c:symbol val="none"/>
          </c:marker>
          <c:dPt>
            <c:idx val="12"/>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0C-221B-41F3-8F2C-3321FFB94F67}"/>
              </c:ext>
            </c:extLst>
          </c:dPt>
          <c:dPt>
            <c:idx val="13"/>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0B-221B-41F3-8F2C-3321FFB94F67}"/>
              </c:ext>
            </c:extLst>
          </c:dPt>
          <c:dPt>
            <c:idx val="14"/>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0A-221B-41F3-8F2C-3321FFB94F67}"/>
              </c:ext>
            </c:extLst>
          </c:dPt>
          <c:dPt>
            <c:idx val="15"/>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09-221B-41F3-8F2C-3321FFB94F67}"/>
              </c:ext>
            </c:extLst>
          </c:dPt>
          <c:dPt>
            <c:idx val="16"/>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08-221B-41F3-8F2C-3321FFB94F67}"/>
              </c:ext>
            </c:extLst>
          </c:dPt>
          <c:dPt>
            <c:idx val="17"/>
            <c:marker>
              <c:symbol val="none"/>
            </c:marker>
            <c:bubble3D val="0"/>
            <c:spPr>
              <a:ln w="28575" cap="rnd">
                <a:solidFill>
                  <a:srgbClr val="00B0F0"/>
                </a:solidFill>
                <a:prstDash val="sysDash"/>
                <a:round/>
              </a:ln>
              <a:effectLst/>
            </c:spPr>
            <c:extLst>
              <c:ext xmlns:c16="http://schemas.microsoft.com/office/drawing/2014/chart" uri="{C3380CC4-5D6E-409C-BE32-E72D297353CC}">
                <c16:uniqueId val="{00000007-221B-41F3-8F2C-3321FFB94F67}"/>
              </c:ext>
            </c:extLst>
          </c:dPt>
          <c:cat>
            <c:numRef>
              <c:f>Sheet1!$A$2:$A$12</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Sheet1!$D$2:$D$12</c:f>
              <c:numCache>
                <c:formatCode>General</c:formatCode>
                <c:ptCount val="11"/>
                <c:pt idx="0">
                  <c:v>2.8580000000000001</c:v>
                </c:pt>
                <c:pt idx="1">
                  <c:v>3.702</c:v>
                </c:pt>
                <c:pt idx="2">
                  <c:v>1.8069999999999999</c:v>
                </c:pt>
                <c:pt idx="3">
                  <c:v>1.2030000000000001</c:v>
                </c:pt>
                <c:pt idx="4">
                  <c:v>9.77</c:v>
                </c:pt>
                <c:pt idx="5">
                  <c:v>4.1109999999999998</c:v>
                </c:pt>
                <c:pt idx="6">
                  <c:v>3.331</c:v>
                </c:pt>
                <c:pt idx="7">
                  <c:v>1.5</c:v>
                </c:pt>
                <c:pt idx="8">
                  <c:v>2.5</c:v>
                </c:pt>
                <c:pt idx="9">
                  <c:v>3</c:v>
                </c:pt>
                <c:pt idx="10">
                  <c:v>3</c:v>
                </c:pt>
              </c:numCache>
            </c:numRef>
          </c:val>
          <c:smooth val="0"/>
          <c:extLst>
            <c:ext xmlns:c16="http://schemas.microsoft.com/office/drawing/2014/chart" uri="{C3380CC4-5D6E-409C-BE32-E72D297353CC}">
              <c16:uniqueId val="{00000000-221B-41F3-8F2C-3321FFB94F67}"/>
            </c:ext>
          </c:extLst>
        </c:ser>
        <c:dLbls>
          <c:showLegendKey val="0"/>
          <c:showVal val="0"/>
          <c:showCatName val="0"/>
          <c:showSerName val="0"/>
          <c:showPercent val="0"/>
          <c:showBubbleSize val="0"/>
        </c:dLbls>
        <c:smooth val="0"/>
        <c:axId val="369275632"/>
        <c:axId val="369268744"/>
      </c:lineChart>
      <c:catAx>
        <c:axId val="369275632"/>
        <c:scaling>
          <c:orientation val="minMax"/>
        </c:scaling>
        <c:delete val="0"/>
        <c:axPos val="b"/>
        <c:numFmt formatCode="General" sourceLinked="1"/>
        <c:majorTickMark val="none"/>
        <c:minorTickMark val="none"/>
        <c:tickLblPos val="nextTo"/>
        <c:spPr>
          <a:noFill/>
          <a:ln w="9525" cap="flat" cmpd="sng" algn="ctr">
            <a:solidFill>
              <a:srgbClr val="006666"/>
            </a:solidFill>
            <a:round/>
          </a:ln>
          <a:effectLst/>
        </c:spPr>
        <c:txPr>
          <a:bodyPr rot="-60000000" spcFirstLastPara="1" vertOverflow="ellipsis" vert="horz" wrap="square" anchor="ctr" anchorCtr="1"/>
          <a:lstStyle/>
          <a:p>
            <a:pPr>
              <a:defRPr sz="7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369268744"/>
        <c:crosses val="autoZero"/>
        <c:auto val="1"/>
        <c:lblAlgn val="ctr"/>
        <c:lblOffset val="100"/>
        <c:noMultiLvlLbl val="0"/>
      </c:catAx>
      <c:valAx>
        <c:axId val="369268744"/>
        <c:scaling>
          <c:orientation val="minMax"/>
        </c:scaling>
        <c:delete val="0"/>
        <c:axPos val="l"/>
        <c:majorGridlines>
          <c:spPr>
            <a:ln w="9525" cap="flat" cmpd="sng" algn="ctr">
              <a:solidFill>
                <a:srgbClr val="00808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36927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6666"/>
      </a:solidFill>
      <a:round/>
    </a:ln>
    <a:effectLst/>
  </c:spPr>
  <c:txPr>
    <a:bodyPr/>
    <a:lstStyle/>
    <a:p>
      <a:pPr>
        <a:defRPr/>
      </a:pPr>
      <a:endParaRPr lang="en-M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a:solidFill>
                  <a:srgbClr val="006666"/>
                </a:solidFill>
                <a:latin typeface="Arial" panose="020B0604020202020204" pitchFamily="34" charset="0"/>
                <a:cs typeface="Arial" panose="020B0604020202020204" pitchFamily="34" charset="0"/>
              </a:rPr>
              <a:t>Employment</a:t>
            </a:r>
            <a:r>
              <a:rPr lang="en-US" sz="1050" b="1" baseline="0">
                <a:solidFill>
                  <a:srgbClr val="006666"/>
                </a:solidFill>
                <a:latin typeface="Arial" panose="020B0604020202020204" pitchFamily="34" charset="0"/>
                <a:cs typeface="Arial" panose="020B0604020202020204" pitchFamily="34" charset="0"/>
              </a:rPr>
              <a:t> projections per selected sectors 2017-2027</a:t>
            </a:r>
            <a:endParaRPr lang="en-US" sz="1050" b="1">
              <a:solidFill>
                <a:srgbClr val="006666"/>
              </a:solidFill>
              <a:latin typeface="Arial" panose="020B0604020202020204" pitchFamily="34" charset="0"/>
              <a:cs typeface="Arial" panose="020B0604020202020204" pitchFamily="34" charset="0"/>
            </a:endParaRPr>
          </a:p>
        </c:rich>
      </c:tx>
      <c:layout>
        <c:manualLayout>
          <c:xMode val="edge"/>
          <c:yMode val="edge"/>
          <c:x val="0.17405972039953338"/>
          <c:y val="1.7361111111111112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U"/>
        </a:p>
      </c:txPr>
    </c:title>
    <c:autoTitleDeleted val="0"/>
    <c:plotArea>
      <c:layout>
        <c:manualLayout>
          <c:layoutTarget val="inner"/>
          <c:xMode val="edge"/>
          <c:yMode val="edge"/>
          <c:x val="0.12742394830854475"/>
          <c:y val="0.13849997265966754"/>
          <c:w val="0.73065534776902874"/>
          <c:h val="0.73065534776902874"/>
        </c:manualLayout>
      </c:layout>
      <c:barChart>
        <c:barDir val="bar"/>
        <c:grouping val="clustered"/>
        <c:varyColors val="0"/>
        <c:ser>
          <c:idx val="0"/>
          <c:order val="0"/>
          <c:tx>
            <c:strRef>
              <c:f>Sheet1!$B$1</c:f>
              <c:strCache>
                <c:ptCount val="1"/>
                <c:pt idx="0">
                  <c:v>2017</c:v>
                </c:pt>
              </c:strCache>
            </c:strRef>
          </c:tx>
          <c:spPr>
            <a:solidFill>
              <a:srgbClr val="FF0066"/>
            </a:solidFill>
            <a:ln>
              <a:solidFill>
                <a:srgbClr val="FF0066"/>
              </a:solidFill>
            </a:ln>
            <a:effectLst/>
          </c:spPr>
          <c:invertIfNegative val="0"/>
          <c:cat>
            <c:strRef>
              <c:f>Sheet1!$A$2:$A$5</c:f>
              <c:strCache>
                <c:ptCount val="4"/>
                <c:pt idx="0">
                  <c:v>Fisheries</c:v>
                </c:pt>
                <c:pt idx="1">
                  <c:v>Ocean-based ICT</c:v>
                </c:pt>
                <c:pt idx="2">
                  <c:v>Shipping</c:v>
                </c:pt>
                <c:pt idx="3">
                  <c:v>Energy</c:v>
                </c:pt>
              </c:strCache>
            </c:strRef>
          </c:cat>
          <c:val>
            <c:numRef>
              <c:f>Sheet1!$B$2:$B$5</c:f>
              <c:numCache>
                <c:formatCode>_-* #,##0_-;\-* #,##0_-;_-* "-"??_-;_-@_-</c:formatCode>
                <c:ptCount val="4"/>
                <c:pt idx="0">
                  <c:v>22000</c:v>
                </c:pt>
                <c:pt idx="1">
                  <c:v>15000</c:v>
                </c:pt>
                <c:pt idx="2">
                  <c:v>9000</c:v>
                </c:pt>
                <c:pt idx="3">
                  <c:v>1000</c:v>
                </c:pt>
              </c:numCache>
            </c:numRef>
          </c:val>
          <c:extLst>
            <c:ext xmlns:c16="http://schemas.microsoft.com/office/drawing/2014/chart" uri="{C3380CC4-5D6E-409C-BE32-E72D297353CC}">
              <c16:uniqueId val="{00000000-29B0-4BDF-B440-76BCCF5777D1}"/>
            </c:ext>
          </c:extLst>
        </c:ser>
        <c:ser>
          <c:idx val="1"/>
          <c:order val="1"/>
          <c:tx>
            <c:strRef>
              <c:f>Sheet1!$C$1</c:f>
              <c:strCache>
                <c:ptCount val="1"/>
                <c:pt idx="0">
                  <c:v>2027</c:v>
                </c:pt>
              </c:strCache>
            </c:strRef>
          </c:tx>
          <c:spPr>
            <a:solidFill>
              <a:srgbClr val="006666"/>
            </a:solidFill>
            <a:ln>
              <a:noFill/>
            </a:ln>
            <a:effectLst/>
          </c:spPr>
          <c:invertIfNegative val="0"/>
          <c:cat>
            <c:strRef>
              <c:f>Sheet1!$A$2:$A$5</c:f>
              <c:strCache>
                <c:ptCount val="4"/>
                <c:pt idx="0">
                  <c:v>Fisheries</c:v>
                </c:pt>
                <c:pt idx="1">
                  <c:v>Ocean-based ICT</c:v>
                </c:pt>
                <c:pt idx="2">
                  <c:v>Shipping</c:v>
                </c:pt>
                <c:pt idx="3">
                  <c:v>Energy</c:v>
                </c:pt>
              </c:strCache>
            </c:strRef>
          </c:cat>
          <c:val>
            <c:numRef>
              <c:f>Sheet1!$C$2:$C$5</c:f>
              <c:numCache>
                <c:formatCode>_-* #,##0_-;\-* #,##0_-;_-* "-"??_-;_-@_-</c:formatCode>
                <c:ptCount val="4"/>
                <c:pt idx="0">
                  <c:v>25500</c:v>
                </c:pt>
                <c:pt idx="1">
                  <c:v>18500</c:v>
                </c:pt>
                <c:pt idx="2">
                  <c:v>10440</c:v>
                </c:pt>
                <c:pt idx="3">
                  <c:v>1476</c:v>
                </c:pt>
              </c:numCache>
            </c:numRef>
          </c:val>
          <c:extLst>
            <c:ext xmlns:c16="http://schemas.microsoft.com/office/drawing/2014/chart" uri="{C3380CC4-5D6E-409C-BE32-E72D297353CC}">
              <c16:uniqueId val="{00000001-29B0-4BDF-B440-76BCCF5777D1}"/>
            </c:ext>
          </c:extLst>
        </c:ser>
        <c:dLbls>
          <c:showLegendKey val="0"/>
          <c:showVal val="0"/>
          <c:showCatName val="0"/>
          <c:showSerName val="0"/>
          <c:showPercent val="0"/>
          <c:showBubbleSize val="0"/>
        </c:dLbls>
        <c:gapWidth val="150"/>
        <c:axId val="369275632"/>
        <c:axId val="369268744"/>
      </c:barChart>
      <c:catAx>
        <c:axId val="369275632"/>
        <c:scaling>
          <c:orientation val="minMax"/>
        </c:scaling>
        <c:delete val="0"/>
        <c:axPos val="l"/>
        <c:numFmt formatCode="General" sourceLinked="1"/>
        <c:majorTickMark val="none"/>
        <c:minorTickMark val="none"/>
        <c:tickLblPos val="nextTo"/>
        <c:spPr>
          <a:noFill/>
          <a:ln w="9525" cap="flat" cmpd="sng" algn="ctr">
            <a:solidFill>
              <a:srgbClr val="006666"/>
            </a:solidFill>
            <a:round/>
          </a:ln>
          <a:effectLst/>
        </c:spPr>
        <c:txPr>
          <a:bodyPr rot="-60000000" spcFirstLastPara="1" vertOverflow="ellipsis" vert="horz" wrap="square" anchor="ctr" anchorCtr="1"/>
          <a:lstStyle/>
          <a:p>
            <a:pPr>
              <a:defRPr sz="9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369268744"/>
        <c:crosses val="autoZero"/>
        <c:auto val="1"/>
        <c:lblAlgn val="ctr"/>
        <c:lblOffset val="100"/>
        <c:noMultiLvlLbl val="0"/>
      </c:catAx>
      <c:valAx>
        <c:axId val="369268744"/>
        <c:scaling>
          <c:orientation val="minMax"/>
        </c:scaling>
        <c:delete val="0"/>
        <c:axPos val="b"/>
        <c:majorGridlines>
          <c:spPr>
            <a:ln w="9525" cap="flat" cmpd="sng" algn="ctr">
              <a:solidFill>
                <a:srgbClr val="008080"/>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crossAx val="36927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6666"/>
              </a:solidFill>
              <a:latin typeface="Arial" panose="020B0604020202020204" pitchFamily="34" charset="0"/>
              <a:ea typeface="+mn-ea"/>
              <a:cs typeface="Arial" panose="020B0604020202020204" pitchFamily="34" charset="0"/>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6666"/>
      </a:solidFill>
      <a:round/>
    </a:ln>
    <a:effectLst/>
  </c:spPr>
  <c:txPr>
    <a:bodyPr/>
    <a:lstStyle/>
    <a:p>
      <a:pPr>
        <a:defRPr/>
      </a:pPr>
      <a:endParaRPr lang="en-M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ct:contentTypeSchema xmlns:ct="http://schemas.microsoft.com/office/2006/metadata/contentType" xmlns:ma="http://schemas.microsoft.com/office/2006/metadata/properties/metaAttributes" ct:_="" ma:_="" ma:contentTypeName="Document" ma:contentTypeID="0x010100C509AB42E76A954FACF175BB976C140E" ma:contentTypeVersion="14" ma:contentTypeDescription="Create a new document." ma:contentTypeScope="" ma:versionID="97d8db0949d21a72cf8d6fb8c7676c00">
  <xsd:schema xmlns:xsd="http://www.w3.org/2001/XMLSchema" xmlns:xs="http://www.w3.org/2001/XMLSchema" xmlns:p="http://schemas.microsoft.com/office/2006/metadata/properties" xmlns:ns3="108e6df5-5b99-4ca8-b110-c66b144f4214" xmlns:ns4="99ec803a-be26-4e15-b7c5-f484edaf4ace" targetNamespace="http://schemas.microsoft.com/office/2006/metadata/properties" ma:root="true" ma:fieldsID="12314885aa004ad5a4dbee9976024e87" ns3:_="" ns4:_="">
    <xsd:import namespace="108e6df5-5b99-4ca8-b110-c66b144f4214"/>
    <xsd:import namespace="99ec803a-be26-4e15-b7c5-f484edaf4ac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e6df5-5b99-4ca8-b110-c66b144f4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ec803a-be26-4e15-b7c5-f484edaf4a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FB85E5-7AE5-4CC6-B704-A7D7DBC6EEBD}">
  <ds:schemaRefs>
    <ds:schemaRef ds:uri="http://schemas.microsoft.com/sharepoint/v3/contenttype/forms"/>
  </ds:schemaRefs>
</ds:datastoreItem>
</file>

<file path=customXml/itemProps2.xml><?xml version="1.0" encoding="utf-8"?>
<ds:datastoreItem xmlns:ds="http://schemas.openxmlformats.org/officeDocument/2006/customXml" ds:itemID="{E595FFB4-F2A9-42EF-B7E6-7E90C1C108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73338B-983C-42C2-8502-4DB37F31AB28}">
  <ds:schemaRefs>
    <ds:schemaRef ds:uri="http://schemas.openxmlformats.org/officeDocument/2006/bibliography"/>
  </ds:schemaRefs>
</ds:datastoreItem>
</file>

<file path=customXml/itemProps4.xml><?xml version="1.0" encoding="utf-8"?>
<ds:datastoreItem xmlns:ds="http://schemas.openxmlformats.org/officeDocument/2006/customXml" ds:itemID="{1EEC0A10-0308-426A-B414-CE1829E30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e6df5-5b99-4ca8-b110-c66b144f4214"/>
    <ds:schemaRef ds:uri="99ec803a-be26-4e15-b7c5-f484edaf4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2073</Words>
  <Characters>11407</Characters>
  <Application>Microsoft Office Word</Application>
  <DocSecurity>0</DocSecurity>
  <Lines>223</Lines>
  <Paragraphs>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Ahoy Studios</dc:creator>
  <cp:keywords/>
  <dc:description/>
  <cp:lastModifiedBy>Jeshta Janee Connery</cp:lastModifiedBy>
  <cp:revision>3</cp:revision>
  <cp:lastPrinted>2021-04-01T11:34:00Z</cp:lastPrinted>
  <dcterms:created xsi:type="dcterms:W3CDTF">2022-12-01T08:20:00Z</dcterms:created>
  <dcterms:modified xsi:type="dcterms:W3CDTF">2022-12-01T08:46:00Z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0x010100C509AB42E76A954FACF175BB976C140E</vt:lpwstr>
  </property>
  <property fmtid="{D5CDD505-2E9C-101B-9397-08002B2CF9AE}" pid="3" name="GrammarlyDocumentId">
    <vt:lpwstr>3b5dee1e18ca66bba99e299e5a470a3db97d8ced9206537300558dfbb0780dc6</vt:lpwstr>
  </property>
</Properties>
</file>